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6896" w14:textId="32B8AD8C" w:rsidR="00B96099" w:rsidRPr="00A070F2" w:rsidRDefault="00A070F2" w:rsidP="006507F4">
      <w:pPr>
        <w:pStyle w:val="Authors"/>
        <w:rPr>
          <w:rFonts w:cs="Calibri"/>
          <w:b/>
          <w:sz w:val="24"/>
          <w:lang w:val="en-US"/>
        </w:rPr>
      </w:pPr>
      <w:r w:rsidRPr="00A070F2">
        <w:rPr>
          <w:rFonts w:cs="Calibri"/>
          <w:b/>
          <w:sz w:val="24"/>
          <w:lang w:val="en-US"/>
        </w:rPr>
        <w:t xml:space="preserve">Application of Deep Learning to Quantify Brain Microstructure </w:t>
      </w:r>
    </w:p>
    <w:p w14:paraId="5CA815C9" w14:textId="2F27521A" w:rsidR="006507F4" w:rsidRPr="00B96099" w:rsidRDefault="004C2AB0" w:rsidP="004309C7">
      <w:pPr>
        <w:pStyle w:val="Authors"/>
      </w:pPr>
      <w:r>
        <w:t>Dominika Ciupek</w:t>
      </w:r>
      <w:r w:rsidR="006507F4" w:rsidRPr="00B96099">
        <w:rPr>
          <w:vertAlign w:val="superscript"/>
        </w:rPr>
        <w:t>1</w:t>
      </w:r>
      <w:r w:rsidR="006507F4" w:rsidRPr="00B96099">
        <w:t xml:space="preserve">, </w:t>
      </w:r>
      <w:r w:rsidR="004309C7">
        <w:t>Maciej Malawski</w:t>
      </w:r>
      <w:r w:rsidR="004309C7">
        <w:rPr>
          <w:vertAlign w:val="superscript"/>
        </w:rPr>
        <w:t>1,2</w:t>
      </w:r>
      <w:r w:rsidR="004309C7">
        <w:t xml:space="preserve">, </w:t>
      </w:r>
      <w:r>
        <w:t>Tomasz Pięciak</w:t>
      </w:r>
      <w:r w:rsidR="006B1001">
        <w:rPr>
          <w:vertAlign w:val="superscript"/>
        </w:rPr>
        <w:t>3</w:t>
      </w:r>
      <w:r w:rsidR="004309C7">
        <w:rPr>
          <w:vertAlign w:val="superscript"/>
        </w:rPr>
        <w:t>,</w:t>
      </w:r>
      <w:r w:rsidR="006B1001">
        <w:rPr>
          <w:vertAlign w:val="superscript"/>
        </w:rPr>
        <w:t>1</w:t>
      </w:r>
    </w:p>
    <w:p w14:paraId="28860078" w14:textId="40F74C28" w:rsidR="006B1001" w:rsidRDefault="00FD0ECD" w:rsidP="00003B65">
      <w:pPr>
        <w:pStyle w:val="Affiliation"/>
        <w:rPr>
          <w:lang w:val="en-US"/>
        </w:rPr>
      </w:pPr>
      <w:r w:rsidRPr="00E858C2">
        <w:rPr>
          <w:vertAlign w:val="superscript"/>
          <w:lang w:val="en-US"/>
        </w:rPr>
        <w:t>1</w:t>
      </w:r>
      <w:r w:rsidR="004309C7" w:rsidRPr="00E858C2">
        <w:rPr>
          <w:lang w:val="en-US"/>
        </w:rPr>
        <w:t>Sano Centre for Computational Medicine, Czarnowiejska 36, 30-054 Kraków, Poland</w:t>
      </w:r>
      <w:r w:rsidRPr="00E858C2">
        <w:rPr>
          <w:lang w:val="en-US"/>
        </w:rPr>
        <w:br/>
      </w:r>
      <w:r w:rsidRPr="00E858C2">
        <w:rPr>
          <w:vertAlign w:val="superscript"/>
          <w:lang w:val="en-US"/>
        </w:rPr>
        <w:t>2</w:t>
      </w:r>
      <w:r w:rsidR="006B1001" w:rsidRPr="006B1001">
        <w:rPr>
          <w:lang w:val="en-US"/>
        </w:rPr>
        <w:t>AGH University of Kraków, Al. Mickiewicza 30</w:t>
      </w:r>
      <w:r w:rsidR="006B1001">
        <w:rPr>
          <w:lang w:val="en-US"/>
        </w:rPr>
        <w:t>,</w:t>
      </w:r>
      <w:r w:rsidR="006B1001" w:rsidRPr="006B1001">
        <w:rPr>
          <w:lang w:val="en-US"/>
        </w:rPr>
        <w:t xml:space="preserve"> 30-059</w:t>
      </w:r>
      <w:r w:rsidR="006B1001">
        <w:rPr>
          <w:lang w:val="en-US"/>
        </w:rPr>
        <w:t xml:space="preserve"> Kraków,</w:t>
      </w:r>
      <w:r w:rsidR="006B1001" w:rsidRPr="006B1001">
        <w:rPr>
          <w:lang w:val="en-US"/>
        </w:rPr>
        <w:t xml:space="preserve"> Poland</w:t>
      </w:r>
    </w:p>
    <w:p w14:paraId="663DB3EE" w14:textId="49DACC7B" w:rsidR="006507F4" w:rsidRPr="00003B65" w:rsidRDefault="006B1001" w:rsidP="00003B65">
      <w:pPr>
        <w:pStyle w:val="Affiliation"/>
        <w:rPr>
          <w:lang w:val="en-US"/>
        </w:rPr>
      </w:pPr>
      <w:r w:rsidRPr="006B1001">
        <w:rPr>
          <w:vertAlign w:val="superscript"/>
          <w:lang w:val="en-US"/>
        </w:rPr>
        <w:t>3</w:t>
      </w:r>
      <w:r w:rsidRPr="006B1001">
        <w:rPr>
          <w:lang w:val="en-US"/>
        </w:rPr>
        <w:t>ETSI Telecomunicación, Universidad de Valladolid,</w:t>
      </w:r>
      <w:r>
        <w:rPr>
          <w:lang w:val="en-US"/>
        </w:rPr>
        <w:t xml:space="preserve"> </w:t>
      </w:r>
      <w:r w:rsidRPr="006B1001">
        <w:rPr>
          <w:lang w:val="en-US"/>
        </w:rPr>
        <w:t>Paseo de Belén</w:t>
      </w:r>
      <w:r>
        <w:rPr>
          <w:lang w:val="en-US"/>
        </w:rPr>
        <w:t xml:space="preserve"> 15,</w:t>
      </w:r>
      <w:r w:rsidRPr="006B1001">
        <w:rPr>
          <w:lang w:val="en-US"/>
        </w:rPr>
        <w:t xml:space="preserve"> 47011</w:t>
      </w:r>
      <w:r>
        <w:rPr>
          <w:lang w:val="en-US"/>
        </w:rPr>
        <w:t xml:space="preserve"> </w:t>
      </w:r>
      <w:r w:rsidRPr="006B1001">
        <w:rPr>
          <w:lang w:val="en-US"/>
        </w:rPr>
        <w:t>Valladolid</w:t>
      </w:r>
      <w:r>
        <w:rPr>
          <w:lang w:val="en-US"/>
        </w:rPr>
        <w:t>,</w:t>
      </w:r>
      <w:r w:rsidRPr="006B1001">
        <w:rPr>
          <w:lang w:val="en-US"/>
        </w:rPr>
        <w:t xml:space="preserve"> Spain</w:t>
      </w:r>
      <w:r w:rsidR="00003B65" w:rsidRPr="00003B65">
        <w:rPr>
          <w:lang w:val="en-US"/>
        </w:rPr>
        <w:br/>
      </w:r>
      <w:r w:rsidR="006507F4" w:rsidRPr="00003B65">
        <w:rPr>
          <w:lang w:val="en-US"/>
        </w:rPr>
        <w:t>{</w:t>
      </w:r>
      <w:r w:rsidR="004C2AB0">
        <w:rPr>
          <w:i/>
          <w:lang w:val="en-US"/>
        </w:rPr>
        <w:t>d.ciupek</w:t>
      </w:r>
      <w:r w:rsidR="00D20275" w:rsidRPr="00003B65">
        <w:rPr>
          <w:i/>
          <w:lang w:val="en-US"/>
        </w:rPr>
        <w:t>,m.malawski</w:t>
      </w:r>
      <w:r w:rsidR="00D20275" w:rsidRPr="00003B65">
        <w:rPr>
          <w:lang w:val="en-US"/>
        </w:rPr>
        <w:t>}</w:t>
      </w:r>
      <w:r w:rsidR="006507F4" w:rsidRPr="00003B65">
        <w:rPr>
          <w:lang w:val="en-US"/>
        </w:rPr>
        <w:t>@</w:t>
      </w:r>
      <w:r w:rsidR="009116D8" w:rsidRPr="00003B65">
        <w:rPr>
          <w:i/>
          <w:lang w:val="en-US"/>
        </w:rPr>
        <w:t>sanoscience.org</w:t>
      </w:r>
      <w:r w:rsidR="006507F4" w:rsidRPr="00003B65">
        <w:rPr>
          <w:lang w:val="en-US"/>
        </w:rPr>
        <w:t>,</w:t>
      </w:r>
      <w:r w:rsidR="00CE65C4" w:rsidRPr="00003B65">
        <w:rPr>
          <w:lang w:val="en-US"/>
        </w:rPr>
        <w:t xml:space="preserve"> </w:t>
      </w:r>
      <w:r w:rsidR="004C2AB0" w:rsidRPr="004C2AB0">
        <w:rPr>
          <w:i/>
          <w:iCs/>
          <w:lang w:val="en-US"/>
        </w:rPr>
        <w:t>tpieciak@tel.uva.es</w:t>
      </w:r>
      <w:r w:rsidR="00003B65" w:rsidRPr="00003B65">
        <w:rPr>
          <w:rFonts w:cs="Courier New"/>
          <w:i/>
          <w:lang w:val="en-US"/>
        </w:rPr>
        <w:br/>
      </w:r>
      <w:r w:rsidR="00003B65">
        <w:rPr>
          <w:rFonts w:cs="Courier New"/>
          <w:i/>
          <w:lang w:val="en-US"/>
        </w:rPr>
        <w:br/>
      </w:r>
      <w:r w:rsidR="006507F4">
        <w:rPr>
          <w:b/>
        </w:rPr>
        <w:t>Keywords</w:t>
      </w:r>
      <w:r w:rsidR="00CE65C4">
        <w:t>:</w:t>
      </w:r>
      <w:r w:rsidR="0017589D">
        <w:t xml:space="preserve"> </w:t>
      </w:r>
      <w:r w:rsidR="004C2AB0">
        <w:t>d</w:t>
      </w:r>
      <w:r w:rsidR="004C2AB0" w:rsidRPr="004C2AB0">
        <w:t>iffusion-weighted magnetic resonance imaging</w:t>
      </w:r>
      <w:r w:rsidR="004C2AB0">
        <w:t xml:space="preserve">, </w:t>
      </w:r>
      <w:r w:rsidR="004C2AB0" w:rsidRPr="004C2AB0">
        <w:t>multicompartment models</w:t>
      </w:r>
      <w:r w:rsidR="004C2AB0">
        <w:t>, deep learning</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55A23A2B" w14:textId="0EFBF516" w:rsidR="0017589D" w:rsidRPr="0017589D" w:rsidRDefault="00231C00" w:rsidP="0017589D">
      <w:pPr>
        <w:pStyle w:val="Paragraph"/>
        <w:ind w:firstLine="0"/>
      </w:pPr>
      <w:r w:rsidRPr="00231C00">
        <w:t>Diffusion-weighted magnetic resonance imaging (DW MRI) offers valuable insights into cellular structure</w:t>
      </w:r>
      <w:r w:rsidR="00BB17BD">
        <w:t>s</w:t>
      </w:r>
      <w:r w:rsidRPr="00231C00">
        <w:t>, making</w:t>
      </w:r>
      <w:r>
        <w:t xml:space="preserve"> </w:t>
      </w:r>
      <w:r w:rsidRPr="00231C00">
        <w:t>it a powerful tool for the non-invasive evaluation of brain microstructure. This modality is particularly sensitive to natural processes of brain maturation</w:t>
      </w:r>
      <w:r w:rsidR="00BB17BD">
        <w:t xml:space="preserve"> and</w:t>
      </w:r>
      <w:r w:rsidRPr="00231C00">
        <w:t xml:space="preserve"> aging, and various neurological disorders [1]. However, accurate modeling of the DW signal is crucial for extracting quantitative indicators, especially when the acquisition procedure is limited.</w:t>
      </w:r>
    </w:p>
    <w:p w14:paraId="193E56A4" w14:textId="250310CB" w:rsidR="002513D6" w:rsidRPr="002513D6" w:rsidRDefault="00C027CF" w:rsidP="002513D6">
      <w:pPr>
        <w:pStyle w:val="List-numbered-bold"/>
        <w:numPr>
          <w:ilvl w:val="0"/>
          <w:numId w:val="22"/>
        </w:numPr>
        <w:ind w:left="227" w:hanging="227"/>
        <w:rPr>
          <w:b w:val="0"/>
        </w:rPr>
      </w:pPr>
      <w:r>
        <w:t xml:space="preserve">Description of the problem </w:t>
      </w:r>
    </w:p>
    <w:p w14:paraId="75446D31" w14:textId="5B8981EA" w:rsidR="003C32B4" w:rsidRDefault="002513D6" w:rsidP="002513D6">
      <w:pPr>
        <w:pStyle w:val="Paragraph"/>
        <w:ind w:firstLine="0"/>
      </w:pPr>
      <w:r>
        <w:t>Diffusion tensor imaging (DTI)</w:t>
      </w:r>
      <w:r w:rsidR="00E12949">
        <w:t xml:space="preserve"> [2]</w:t>
      </w:r>
      <w:r>
        <w:t xml:space="preserve"> is a widely used technique for modeling the DW signal</w:t>
      </w:r>
      <w:r w:rsidR="001E7ABD">
        <w:t>,</w:t>
      </w:r>
      <w:r w:rsidR="001E7ABD" w:rsidRPr="001E7ABD">
        <w:t xml:space="preserve"> but interpreting its data can be challenging as it only captures the primary direction of diffusion</w:t>
      </w:r>
      <w:r w:rsidR="007A1D4C">
        <w:t xml:space="preserve"> [</w:t>
      </w:r>
      <w:r w:rsidR="002A7987">
        <w:t>1</w:t>
      </w:r>
      <w:r w:rsidR="007A1D4C">
        <w:t>]</w:t>
      </w:r>
      <w:r>
        <w:t>. An alternative approach involves using multicompartment biophysical models that assume specific tissue geometries</w:t>
      </w:r>
      <w:r w:rsidR="003C32B4">
        <w:t xml:space="preserve"> </w:t>
      </w:r>
      <w:r w:rsidR="003C32B4" w:rsidRPr="001E7ABD">
        <w:t>and can directly estimate key microstructural parameters, making data interpretation easier</w:t>
      </w:r>
      <w:r w:rsidR="003C32B4">
        <w:t xml:space="preserve"> </w:t>
      </w:r>
      <w:r w:rsidR="007A1D4C">
        <w:t>[</w:t>
      </w:r>
      <w:r w:rsidR="002A7987">
        <w:t>3</w:t>
      </w:r>
      <w:r w:rsidR="007A1D4C">
        <w:t>]</w:t>
      </w:r>
      <w:r>
        <w:t>. Two of the most popular biophysical models are Neurite Orientation Dispersion and Density Imaging (NODDI)</w:t>
      </w:r>
      <w:r w:rsidR="007A1D4C">
        <w:t xml:space="preserve"> [</w:t>
      </w:r>
      <w:r w:rsidR="002A7987">
        <w:t>4</w:t>
      </w:r>
      <w:r w:rsidR="007A1D4C">
        <w:t>]</w:t>
      </w:r>
      <w:r>
        <w:t xml:space="preserve"> and the Spherical Mean Technique (SMT)</w:t>
      </w:r>
      <w:r w:rsidR="007A1D4C">
        <w:t xml:space="preserve"> [</w:t>
      </w:r>
      <w:r w:rsidR="002A7987">
        <w:t>5</w:t>
      </w:r>
      <w:r w:rsidR="007A1D4C">
        <w:t>]</w:t>
      </w:r>
      <w:r w:rsidR="008A7579">
        <w:t xml:space="preserve"> (see Fig.1)</w:t>
      </w:r>
      <w:r>
        <w:t xml:space="preserve">. Microstructural parameters derived from </w:t>
      </w:r>
      <w:r w:rsidR="003C32B4">
        <w:t>multicompartment</w:t>
      </w:r>
      <w:r>
        <w:t xml:space="preserve"> models are typically calculated using numerical optimization procedures. However, these methods require more complex and time-consuming acquisition protocols, including a specific number of DW volumes, than those commonly used in clinical practice. This complexity significantly limits the practical application of biophysical models in clinical settings.</w:t>
      </w:r>
    </w:p>
    <w:p w14:paraId="7D2CE12B" w14:textId="77777777" w:rsidR="00DF5046" w:rsidRDefault="00DF5046" w:rsidP="002513D6">
      <w:pPr>
        <w:pStyle w:val="Paragraph"/>
        <w:ind w:firstLine="0"/>
      </w:pPr>
    </w:p>
    <w:p w14:paraId="76FACE3D" w14:textId="3ABA3328" w:rsidR="00DF5046" w:rsidRDefault="00826194" w:rsidP="00DF5046">
      <w:pPr>
        <w:pStyle w:val="Paragraph"/>
        <w:ind w:firstLine="0"/>
        <w:jc w:val="center"/>
      </w:pPr>
      <w:r>
        <w:rPr>
          <w:noProof/>
        </w:rPr>
        <w:drawing>
          <wp:inline distT="0" distB="0" distL="0" distR="0" wp14:anchorId="144969DD" wp14:editId="0A3A4F11">
            <wp:extent cx="3181350" cy="967854"/>
            <wp:effectExtent l="0" t="0" r="0" b="3810"/>
            <wp:docPr id="973543368" name="Obraz 1" descr="Obraz zawierający tekst, diagram,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43368" name="Obraz 5" descr="Obraz zawierający tekst, diagram, Czcionka, linia&#10;&#10;Opis wygenerowany automatycznie"/>
                    <pic:cNvPicPr/>
                  </pic:nvPicPr>
                  <pic:blipFill>
                    <a:blip r:embed="rId8"/>
                    <a:stretch>
                      <a:fillRect/>
                    </a:stretch>
                  </pic:blipFill>
                  <pic:spPr>
                    <a:xfrm>
                      <a:off x="0" y="0"/>
                      <a:ext cx="3202531" cy="974298"/>
                    </a:xfrm>
                    <a:prstGeom prst="rect">
                      <a:avLst/>
                    </a:prstGeom>
                  </pic:spPr>
                </pic:pic>
              </a:graphicData>
            </a:graphic>
          </wp:inline>
        </w:drawing>
      </w:r>
    </w:p>
    <w:p w14:paraId="4BEA87D7" w14:textId="79AD16D1" w:rsidR="00DF5046" w:rsidRPr="00DF5046" w:rsidRDefault="00DF5046" w:rsidP="00DF5046">
      <w:pPr>
        <w:pStyle w:val="Paragraph"/>
        <w:ind w:firstLine="0"/>
        <w:jc w:val="center"/>
        <w:rPr>
          <w:rFonts w:eastAsia="Arial Unicode MS"/>
          <w:iCs/>
          <w:kern w:val="1"/>
          <w:sz w:val="16"/>
        </w:rPr>
      </w:pPr>
      <w:r>
        <w:rPr>
          <w:rFonts w:eastAsia="Arial Unicode MS"/>
          <w:b/>
          <w:iCs/>
          <w:kern w:val="1"/>
          <w:sz w:val="16"/>
        </w:rPr>
        <w:t xml:space="preserve">Fig.1. </w:t>
      </w:r>
      <w:r w:rsidRPr="00DF5046">
        <w:rPr>
          <w:rFonts w:eastAsia="Arial Unicode MS"/>
          <w:iCs/>
          <w:kern w:val="1"/>
          <w:sz w:val="16"/>
        </w:rPr>
        <w:t xml:space="preserve">Distribution of the total </w:t>
      </w:r>
      <w:r>
        <w:rPr>
          <w:rFonts w:eastAsia="Arial Unicode MS"/>
          <w:iCs/>
          <w:kern w:val="1"/>
          <w:sz w:val="16"/>
        </w:rPr>
        <w:t>DW</w:t>
      </w:r>
      <w:r w:rsidRPr="00DF5046">
        <w:rPr>
          <w:rFonts w:eastAsia="Arial Unicode MS"/>
          <w:iCs/>
          <w:kern w:val="1"/>
          <w:sz w:val="16"/>
        </w:rPr>
        <w:t xml:space="preserve"> signal between different compartments of the</w:t>
      </w:r>
      <w:r>
        <w:rPr>
          <w:rFonts w:eastAsia="Arial Unicode MS"/>
          <w:iCs/>
          <w:kern w:val="1"/>
          <w:sz w:val="16"/>
        </w:rPr>
        <w:t xml:space="preserve"> A. NODDI and B.</w:t>
      </w:r>
      <w:r w:rsidRPr="00DF5046">
        <w:rPr>
          <w:rFonts w:eastAsia="Arial Unicode MS"/>
          <w:iCs/>
          <w:kern w:val="1"/>
          <w:sz w:val="16"/>
        </w:rPr>
        <w:t xml:space="preserve"> SMT model</w:t>
      </w:r>
      <w:r>
        <w:rPr>
          <w:rFonts w:eastAsia="Arial Unicode MS"/>
          <w:iCs/>
          <w:kern w:val="1"/>
          <w:sz w:val="16"/>
        </w:rPr>
        <w:t>s</w:t>
      </w:r>
      <w:r w:rsidRPr="00596E65">
        <w:rPr>
          <w:rFonts w:eastAsia="Arial Unicode MS"/>
          <w:iCs/>
          <w:kern w:val="1"/>
          <w:sz w:val="16"/>
        </w:rPr>
        <w:t>.</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1B14C12A" w14:textId="1545787A" w:rsidR="00B74C24" w:rsidRPr="00AA6A39" w:rsidRDefault="00907706" w:rsidP="00AA6A39">
      <w:pPr>
        <w:pStyle w:val="Paragraph"/>
        <w:ind w:firstLine="0"/>
      </w:pPr>
      <w:r w:rsidRPr="00907706">
        <w:t>Research in the literature has explored the potential application of deep learning to estimate parameters of multicompartment models, especially the NODDI</w:t>
      </w:r>
      <w:r w:rsidR="007A1D4C">
        <w:t xml:space="preserve"> [</w:t>
      </w:r>
      <w:r w:rsidR="00AA10E5">
        <w:t>6,7</w:t>
      </w:r>
      <w:r w:rsidR="007A1D4C">
        <w:t>]</w:t>
      </w:r>
      <w:r w:rsidRPr="00907706">
        <w:t>. However, these studies are quite limited in scope. They often focus only on the effects of a reduced number of DW volumes, while employing acquisition schemes that are not commonly used in clinical practice.</w:t>
      </w:r>
    </w:p>
    <w:p w14:paraId="3C18F7F9" w14:textId="66A03189" w:rsidR="00717D9D" w:rsidRDefault="00C027CF" w:rsidP="00717D9D">
      <w:pPr>
        <w:pStyle w:val="List-numbered-bold"/>
        <w:numPr>
          <w:ilvl w:val="0"/>
          <w:numId w:val="22"/>
        </w:numPr>
        <w:ind w:left="227" w:hanging="227"/>
        <w:rPr>
          <w:b w:val="0"/>
        </w:rPr>
      </w:pPr>
      <w:r>
        <w:lastRenderedPageBreak/>
        <w:t xml:space="preserve">Solution </w:t>
      </w:r>
      <w:r w:rsidR="006D41F5">
        <w:t xml:space="preserve">to </w:t>
      </w:r>
      <w:r>
        <w:t>the problem</w:t>
      </w:r>
    </w:p>
    <w:p w14:paraId="31B19649" w14:textId="65770684" w:rsidR="00193382" w:rsidRDefault="00FE09F7" w:rsidP="000110D0">
      <w:pPr>
        <w:pStyle w:val="Paragraph"/>
        <w:spacing w:after="120"/>
        <w:ind w:firstLine="0"/>
      </w:pPr>
      <w:r w:rsidRPr="00FE09F7">
        <w:t>The study utilized the HCP WU-Minn data</w:t>
      </w:r>
      <w:r>
        <w:t xml:space="preserve"> [</w:t>
      </w:r>
      <w:r w:rsidR="00AA10E5">
        <w:t>8</w:t>
      </w:r>
      <w:r>
        <w:t>]</w:t>
      </w:r>
      <w:r w:rsidRPr="00FE09F7">
        <w:t xml:space="preserve">, which </w:t>
      </w:r>
      <w:r w:rsidR="00CF0FAE">
        <w:t>originally</w:t>
      </w:r>
      <w:r w:rsidRPr="00FE09F7">
        <w:t xml:space="preserve"> included 90 gradient directions for three b-values (1000, 2000, and 3000</w:t>
      </w:r>
      <w:r>
        <w:t xml:space="preserve"> s/mm</w:t>
      </w:r>
      <w:r w:rsidRPr="00FE09F7">
        <w:rPr>
          <w:vertAlign w:val="superscript"/>
        </w:rPr>
        <w:t>2</w:t>
      </w:r>
      <w:r w:rsidRPr="00FE09F7">
        <w:t xml:space="preserve">). </w:t>
      </w:r>
      <w:r w:rsidR="00193382" w:rsidRPr="00193382">
        <w:t>To simulate acquisition protocols more representative of clinical settings</w:t>
      </w:r>
      <w:r w:rsidR="00193382">
        <w:t xml:space="preserve"> [</w:t>
      </w:r>
      <w:r w:rsidR="00AA10E5">
        <w:t>9</w:t>
      </w:r>
      <w:r w:rsidR="00193382">
        <w:t>]</w:t>
      </w:r>
      <w:r w:rsidR="00193382" w:rsidRPr="00193382">
        <w:t>, the data were downsampled and interpolated using spherical harmonics to generate three separate datasets with b = 1000 s/mm² and 32, 15, and 6 gradient direction</w:t>
      </w:r>
      <w:r w:rsidR="00193382">
        <w:t>s</w:t>
      </w:r>
      <w:r w:rsidRPr="00FE09F7">
        <w:t xml:space="preserve">. </w:t>
      </w:r>
      <w:r w:rsidR="00193382">
        <w:t xml:space="preserve">Microstructural parameters were estimated using both traditional numerical optimization techniques and a deep learning-based U-net </w:t>
      </w:r>
      <w:r w:rsidR="00CF0FAE">
        <w:t>model</w:t>
      </w:r>
      <w:r w:rsidR="00193382">
        <w:t>. Parameters derived from the original, full-resolution acquisition were used as the ground truth for comparison</w:t>
      </w:r>
      <w:r w:rsidRPr="00FE09F7">
        <w:t xml:space="preserve">. </w:t>
      </w:r>
      <w:r w:rsidR="00193382" w:rsidRPr="00193382">
        <w:t xml:space="preserve">Performance evaluation was conducted using the Mean Structural Similarity Index Measure (MSSIM). </w:t>
      </w:r>
      <w:r w:rsidR="00081623">
        <w:br/>
      </w:r>
      <w:r w:rsidR="00193382" w:rsidRPr="00193382">
        <w:t>A summary of the results is provided in Table 1.</w:t>
      </w:r>
    </w:p>
    <w:p w14:paraId="7AC8BAD0" w14:textId="3E498971" w:rsidR="00FD0ECD" w:rsidRPr="00845063" w:rsidRDefault="000110D0" w:rsidP="00845063">
      <w:pPr>
        <w:pStyle w:val="Paragraph"/>
        <w:spacing w:after="120"/>
        <w:ind w:firstLine="0"/>
        <w:jc w:val="center"/>
        <w:rPr>
          <w:rFonts w:eastAsia="Arial Unicode MS"/>
          <w:iCs/>
          <w:kern w:val="1"/>
          <w:sz w:val="16"/>
        </w:rPr>
      </w:pPr>
      <w:r>
        <w:rPr>
          <w:rFonts w:eastAsia="Arial Unicode MS"/>
          <w:b/>
          <w:iCs/>
          <w:kern w:val="1"/>
          <w:sz w:val="16"/>
        </w:rPr>
        <w:t xml:space="preserve">Table </w:t>
      </w:r>
      <w:r w:rsidR="00DF5046">
        <w:rPr>
          <w:rFonts w:eastAsia="Arial Unicode MS"/>
          <w:b/>
          <w:iCs/>
          <w:kern w:val="1"/>
          <w:sz w:val="16"/>
        </w:rPr>
        <w:t>1.</w:t>
      </w:r>
      <w:r>
        <w:rPr>
          <w:rFonts w:eastAsia="Arial Unicode MS"/>
          <w:b/>
          <w:iCs/>
          <w:kern w:val="1"/>
          <w:sz w:val="16"/>
        </w:rPr>
        <w:t xml:space="preserve"> </w:t>
      </w:r>
      <w:r w:rsidR="00081623">
        <w:rPr>
          <w:rFonts w:eastAsia="Arial Unicode MS"/>
          <w:iCs/>
          <w:kern w:val="1"/>
          <w:sz w:val="16"/>
        </w:rPr>
        <w:t>MSSIM</w:t>
      </w:r>
      <w:r w:rsidR="00081623" w:rsidRPr="00081623">
        <w:rPr>
          <w:rFonts w:eastAsia="Arial Unicode MS"/>
          <w:iCs/>
          <w:kern w:val="1"/>
          <w:sz w:val="16"/>
        </w:rPr>
        <w:t xml:space="preserve"> results of the U-Net and a standard numerical method across different acquisition schemes, assessed for various parameter</w:t>
      </w:r>
      <w:r w:rsidR="00081623">
        <w:rPr>
          <w:rFonts w:eastAsia="Arial Unicode MS"/>
          <w:iCs/>
          <w:kern w:val="1"/>
          <w:sz w:val="16"/>
        </w:rPr>
        <w:t xml:space="preserve">s </w:t>
      </w:r>
      <w:r w:rsidR="00081623" w:rsidRPr="00081623">
        <w:rPr>
          <w:rFonts w:eastAsia="Arial Unicode MS"/>
          <w:iCs/>
          <w:kern w:val="1"/>
          <w:sz w:val="16"/>
        </w:rPr>
        <w:t>of the SMT and NODDI models.</w:t>
      </w:r>
    </w:p>
    <w:tbl>
      <w:tblPr>
        <w:tblStyle w:val="Tabela-Siatka"/>
        <w:tblW w:w="0" w:type="auto"/>
        <w:jc w:val="center"/>
        <w:tblLook w:val="04A0" w:firstRow="1" w:lastRow="0" w:firstColumn="1" w:lastColumn="0" w:noHBand="0" w:noVBand="1"/>
      </w:tblPr>
      <w:tblGrid>
        <w:gridCol w:w="1443"/>
        <w:gridCol w:w="866"/>
        <w:gridCol w:w="936"/>
        <w:gridCol w:w="867"/>
        <w:gridCol w:w="936"/>
        <w:gridCol w:w="866"/>
        <w:gridCol w:w="936"/>
      </w:tblGrid>
      <w:tr w:rsidR="0047690F" w14:paraId="0C163252" w14:textId="77777777" w:rsidTr="003E55F3">
        <w:trPr>
          <w:jc w:val="center"/>
        </w:trPr>
        <w:tc>
          <w:tcPr>
            <w:tcW w:w="1443" w:type="dxa"/>
            <w:vAlign w:val="center"/>
          </w:tcPr>
          <w:p w14:paraId="074AEDED" w14:textId="2B1F6ED0" w:rsidR="0047690F" w:rsidRPr="00DF5046" w:rsidRDefault="0047690F" w:rsidP="00845063">
            <w:pPr>
              <w:pStyle w:val="Paragraph"/>
              <w:ind w:firstLine="0"/>
              <w:jc w:val="center"/>
              <w:rPr>
                <w:b/>
                <w:bCs/>
                <w:sz w:val="16"/>
                <w:szCs w:val="18"/>
              </w:rPr>
            </w:pPr>
          </w:p>
        </w:tc>
        <w:tc>
          <w:tcPr>
            <w:tcW w:w="1802" w:type="dxa"/>
            <w:gridSpan w:val="2"/>
            <w:vAlign w:val="center"/>
          </w:tcPr>
          <w:p w14:paraId="04052465" w14:textId="3118FC64" w:rsidR="0047690F" w:rsidRPr="00DF5046" w:rsidRDefault="0047690F" w:rsidP="00845063">
            <w:pPr>
              <w:pStyle w:val="Paragraph"/>
              <w:ind w:firstLine="0"/>
              <w:jc w:val="center"/>
              <w:rPr>
                <w:b/>
                <w:bCs/>
                <w:sz w:val="16"/>
                <w:szCs w:val="18"/>
              </w:rPr>
            </w:pPr>
            <w:r w:rsidRPr="00DF5046">
              <w:rPr>
                <w:b/>
                <w:bCs/>
                <w:sz w:val="16"/>
                <w:szCs w:val="18"/>
              </w:rPr>
              <w:t>32 volumes, b1000</w:t>
            </w:r>
          </w:p>
        </w:tc>
        <w:tc>
          <w:tcPr>
            <w:tcW w:w="1803" w:type="dxa"/>
            <w:gridSpan w:val="2"/>
          </w:tcPr>
          <w:p w14:paraId="67AACD1B" w14:textId="71C7A1DC" w:rsidR="0047690F" w:rsidRPr="00DF5046" w:rsidRDefault="0047690F" w:rsidP="00845063">
            <w:pPr>
              <w:pStyle w:val="Paragraph"/>
              <w:ind w:firstLine="0"/>
              <w:jc w:val="center"/>
              <w:rPr>
                <w:b/>
                <w:bCs/>
                <w:sz w:val="16"/>
                <w:szCs w:val="18"/>
              </w:rPr>
            </w:pPr>
            <w:r w:rsidRPr="00DF5046">
              <w:rPr>
                <w:b/>
                <w:bCs/>
                <w:sz w:val="16"/>
                <w:szCs w:val="18"/>
              </w:rPr>
              <w:t>15 volumes, b1000</w:t>
            </w:r>
          </w:p>
        </w:tc>
        <w:tc>
          <w:tcPr>
            <w:tcW w:w="1802" w:type="dxa"/>
            <w:gridSpan w:val="2"/>
          </w:tcPr>
          <w:p w14:paraId="68E7FC5B" w14:textId="5AE4D606" w:rsidR="0047690F" w:rsidRPr="00DF5046" w:rsidRDefault="0047690F" w:rsidP="00845063">
            <w:pPr>
              <w:pStyle w:val="Paragraph"/>
              <w:ind w:firstLine="0"/>
              <w:jc w:val="center"/>
              <w:rPr>
                <w:b/>
                <w:bCs/>
                <w:sz w:val="16"/>
                <w:szCs w:val="18"/>
              </w:rPr>
            </w:pPr>
            <w:r w:rsidRPr="00DF5046">
              <w:rPr>
                <w:b/>
                <w:bCs/>
                <w:sz w:val="16"/>
                <w:szCs w:val="18"/>
              </w:rPr>
              <w:t>6 volumes, b1000</w:t>
            </w:r>
          </w:p>
        </w:tc>
      </w:tr>
      <w:tr w:rsidR="0047690F" w14:paraId="48C25A43" w14:textId="77777777" w:rsidTr="003E55F3">
        <w:trPr>
          <w:jc w:val="center"/>
        </w:trPr>
        <w:tc>
          <w:tcPr>
            <w:tcW w:w="1443" w:type="dxa"/>
            <w:vAlign w:val="center"/>
          </w:tcPr>
          <w:p w14:paraId="02763222" w14:textId="6FEAF52E" w:rsidR="0047690F" w:rsidRPr="00DF5046" w:rsidRDefault="0047690F" w:rsidP="00845063">
            <w:pPr>
              <w:pStyle w:val="Paragraph"/>
              <w:ind w:firstLine="0"/>
              <w:jc w:val="center"/>
              <w:rPr>
                <w:b/>
                <w:bCs/>
                <w:sz w:val="16"/>
                <w:szCs w:val="18"/>
              </w:rPr>
            </w:pPr>
            <w:r w:rsidRPr="00DF5046">
              <w:rPr>
                <w:b/>
                <w:bCs/>
                <w:sz w:val="16"/>
                <w:szCs w:val="18"/>
              </w:rPr>
              <w:t>Microstructural parameter</w:t>
            </w:r>
          </w:p>
        </w:tc>
        <w:tc>
          <w:tcPr>
            <w:tcW w:w="866" w:type="dxa"/>
            <w:vAlign w:val="center"/>
          </w:tcPr>
          <w:p w14:paraId="0B6DFB3A" w14:textId="29B49630" w:rsidR="0047690F" w:rsidRPr="00DF5046" w:rsidRDefault="0047690F" w:rsidP="00845063">
            <w:pPr>
              <w:pStyle w:val="Paragraph"/>
              <w:ind w:firstLine="0"/>
              <w:jc w:val="center"/>
              <w:rPr>
                <w:b/>
                <w:bCs/>
                <w:sz w:val="16"/>
                <w:szCs w:val="18"/>
              </w:rPr>
            </w:pPr>
            <w:r w:rsidRPr="00DF5046">
              <w:rPr>
                <w:b/>
                <w:bCs/>
                <w:sz w:val="16"/>
                <w:szCs w:val="18"/>
              </w:rPr>
              <w:t>DL model</w:t>
            </w:r>
          </w:p>
        </w:tc>
        <w:tc>
          <w:tcPr>
            <w:tcW w:w="936" w:type="dxa"/>
            <w:vAlign w:val="center"/>
          </w:tcPr>
          <w:p w14:paraId="154B8E62" w14:textId="6475A950" w:rsidR="0047690F" w:rsidRPr="00DF5046" w:rsidRDefault="0047690F" w:rsidP="00845063">
            <w:pPr>
              <w:pStyle w:val="Paragraph"/>
              <w:ind w:firstLine="0"/>
              <w:jc w:val="center"/>
              <w:rPr>
                <w:b/>
                <w:bCs/>
                <w:sz w:val="16"/>
                <w:szCs w:val="18"/>
              </w:rPr>
            </w:pPr>
            <w:r w:rsidRPr="00DF5046">
              <w:rPr>
                <w:b/>
                <w:bCs/>
                <w:sz w:val="16"/>
                <w:szCs w:val="18"/>
              </w:rPr>
              <w:t>Numerical method</w:t>
            </w:r>
          </w:p>
        </w:tc>
        <w:tc>
          <w:tcPr>
            <w:tcW w:w="867" w:type="dxa"/>
          </w:tcPr>
          <w:p w14:paraId="0EA1F374" w14:textId="7A8214F6" w:rsidR="0047690F" w:rsidRPr="00DF5046" w:rsidRDefault="0047690F" w:rsidP="00845063">
            <w:pPr>
              <w:pStyle w:val="Paragraph"/>
              <w:ind w:firstLine="0"/>
              <w:jc w:val="center"/>
              <w:rPr>
                <w:b/>
                <w:bCs/>
                <w:sz w:val="16"/>
                <w:szCs w:val="18"/>
              </w:rPr>
            </w:pPr>
            <w:r w:rsidRPr="00DF5046">
              <w:rPr>
                <w:b/>
                <w:bCs/>
                <w:sz w:val="16"/>
                <w:szCs w:val="18"/>
              </w:rPr>
              <w:t>DL model</w:t>
            </w:r>
          </w:p>
        </w:tc>
        <w:tc>
          <w:tcPr>
            <w:tcW w:w="936" w:type="dxa"/>
          </w:tcPr>
          <w:p w14:paraId="760553A9" w14:textId="658E31A4" w:rsidR="0047690F" w:rsidRPr="00DF5046" w:rsidRDefault="0047690F" w:rsidP="00845063">
            <w:pPr>
              <w:pStyle w:val="Paragraph"/>
              <w:ind w:firstLine="0"/>
              <w:jc w:val="center"/>
              <w:rPr>
                <w:b/>
                <w:bCs/>
                <w:sz w:val="16"/>
                <w:szCs w:val="18"/>
              </w:rPr>
            </w:pPr>
            <w:r w:rsidRPr="00DF5046">
              <w:rPr>
                <w:b/>
                <w:bCs/>
                <w:sz w:val="16"/>
                <w:szCs w:val="18"/>
              </w:rPr>
              <w:t>Numerical method</w:t>
            </w:r>
          </w:p>
        </w:tc>
        <w:tc>
          <w:tcPr>
            <w:tcW w:w="866" w:type="dxa"/>
          </w:tcPr>
          <w:p w14:paraId="45676A86" w14:textId="6B6B0ACA" w:rsidR="0047690F" w:rsidRPr="00DF5046" w:rsidRDefault="0047690F" w:rsidP="00845063">
            <w:pPr>
              <w:pStyle w:val="Paragraph"/>
              <w:ind w:firstLine="0"/>
              <w:jc w:val="center"/>
              <w:rPr>
                <w:b/>
                <w:bCs/>
                <w:sz w:val="16"/>
                <w:szCs w:val="18"/>
              </w:rPr>
            </w:pPr>
            <w:r w:rsidRPr="00DF5046">
              <w:rPr>
                <w:b/>
                <w:bCs/>
                <w:sz w:val="16"/>
                <w:szCs w:val="18"/>
              </w:rPr>
              <w:t>DL model</w:t>
            </w:r>
          </w:p>
        </w:tc>
        <w:tc>
          <w:tcPr>
            <w:tcW w:w="936" w:type="dxa"/>
          </w:tcPr>
          <w:p w14:paraId="2B6E7D1C" w14:textId="1B135CE3" w:rsidR="0047690F" w:rsidRPr="00DF5046" w:rsidRDefault="0047690F" w:rsidP="00845063">
            <w:pPr>
              <w:pStyle w:val="Paragraph"/>
              <w:ind w:firstLine="0"/>
              <w:jc w:val="center"/>
              <w:rPr>
                <w:b/>
                <w:bCs/>
                <w:sz w:val="16"/>
                <w:szCs w:val="18"/>
              </w:rPr>
            </w:pPr>
            <w:r w:rsidRPr="00DF5046">
              <w:rPr>
                <w:b/>
                <w:bCs/>
                <w:sz w:val="16"/>
                <w:szCs w:val="18"/>
              </w:rPr>
              <w:t>Numerical method</w:t>
            </w:r>
          </w:p>
        </w:tc>
      </w:tr>
      <w:tr w:rsidR="0047690F" w14:paraId="09A49D28" w14:textId="77777777" w:rsidTr="003E55F3">
        <w:trPr>
          <w:jc w:val="center"/>
        </w:trPr>
        <w:tc>
          <w:tcPr>
            <w:tcW w:w="1443" w:type="dxa"/>
            <w:vAlign w:val="center"/>
          </w:tcPr>
          <w:p w14:paraId="2FB1031B" w14:textId="134753EC" w:rsidR="0047690F" w:rsidRPr="00DF5046" w:rsidRDefault="00617E8C" w:rsidP="00845063">
            <w:pPr>
              <w:pStyle w:val="Paragraph"/>
              <w:ind w:firstLine="0"/>
              <w:jc w:val="center"/>
              <w:rPr>
                <w:b/>
                <w:bCs/>
                <w:sz w:val="16"/>
                <w:szCs w:val="18"/>
              </w:rPr>
            </w:pPr>
            <w:r w:rsidRPr="00DF5046">
              <w:rPr>
                <w:b/>
                <w:bCs/>
                <w:sz w:val="16"/>
                <w:szCs w:val="18"/>
              </w:rPr>
              <w:t>v</w:t>
            </w:r>
            <w:r w:rsidRPr="001F6576">
              <w:rPr>
                <w:b/>
                <w:bCs/>
                <w:sz w:val="16"/>
                <w:szCs w:val="18"/>
                <w:vertAlign w:val="subscript"/>
              </w:rPr>
              <w:t>i</w:t>
            </w:r>
            <w:r w:rsidR="001F6576" w:rsidRPr="001F6576">
              <w:rPr>
                <w:b/>
                <w:bCs/>
                <w:sz w:val="16"/>
                <w:szCs w:val="18"/>
                <w:vertAlign w:val="subscript"/>
              </w:rPr>
              <w:t>c</w:t>
            </w:r>
          </w:p>
        </w:tc>
        <w:tc>
          <w:tcPr>
            <w:tcW w:w="866" w:type="dxa"/>
            <w:vAlign w:val="center"/>
          </w:tcPr>
          <w:p w14:paraId="34D0FE26" w14:textId="29008FCC" w:rsidR="0047690F" w:rsidRPr="00DF5046" w:rsidRDefault="002F3BE7" w:rsidP="00845063">
            <w:pPr>
              <w:pStyle w:val="Paragraph"/>
              <w:ind w:firstLine="0"/>
              <w:jc w:val="center"/>
              <w:rPr>
                <w:sz w:val="16"/>
                <w:szCs w:val="18"/>
              </w:rPr>
            </w:pPr>
            <w:r w:rsidRPr="00DF5046">
              <w:rPr>
                <w:sz w:val="16"/>
                <w:szCs w:val="18"/>
              </w:rPr>
              <w:t>0.950</w:t>
            </w:r>
          </w:p>
        </w:tc>
        <w:tc>
          <w:tcPr>
            <w:tcW w:w="936" w:type="dxa"/>
            <w:vAlign w:val="center"/>
          </w:tcPr>
          <w:p w14:paraId="50B2C6E4" w14:textId="275D58FE" w:rsidR="0047690F" w:rsidRPr="00DF5046" w:rsidRDefault="0004466E" w:rsidP="00845063">
            <w:pPr>
              <w:pStyle w:val="Paragraph"/>
              <w:ind w:firstLine="0"/>
              <w:jc w:val="center"/>
              <w:rPr>
                <w:sz w:val="16"/>
                <w:szCs w:val="18"/>
              </w:rPr>
            </w:pPr>
            <w:r w:rsidRPr="00DF5046">
              <w:rPr>
                <w:sz w:val="16"/>
                <w:szCs w:val="18"/>
              </w:rPr>
              <w:t>0.703</w:t>
            </w:r>
          </w:p>
        </w:tc>
        <w:tc>
          <w:tcPr>
            <w:tcW w:w="867" w:type="dxa"/>
          </w:tcPr>
          <w:p w14:paraId="4620CA35" w14:textId="00583DD1" w:rsidR="0047690F" w:rsidRPr="00DF5046" w:rsidRDefault="002F3BE7" w:rsidP="00845063">
            <w:pPr>
              <w:pStyle w:val="Paragraph"/>
              <w:ind w:firstLine="0"/>
              <w:jc w:val="center"/>
              <w:rPr>
                <w:sz w:val="16"/>
                <w:szCs w:val="18"/>
              </w:rPr>
            </w:pPr>
            <w:r w:rsidRPr="00DF5046">
              <w:rPr>
                <w:sz w:val="16"/>
                <w:szCs w:val="18"/>
              </w:rPr>
              <w:t>0.947</w:t>
            </w:r>
          </w:p>
        </w:tc>
        <w:tc>
          <w:tcPr>
            <w:tcW w:w="936" w:type="dxa"/>
          </w:tcPr>
          <w:p w14:paraId="1E92D45B" w14:textId="092FF24A" w:rsidR="0047690F" w:rsidRPr="00DF5046" w:rsidRDefault="00442934" w:rsidP="00845063">
            <w:pPr>
              <w:pStyle w:val="Paragraph"/>
              <w:ind w:firstLine="0"/>
              <w:jc w:val="center"/>
              <w:rPr>
                <w:sz w:val="16"/>
                <w:szCs w:val="18"/>
              </w:rPr>
            </w:pPr>
            <w:r w:rsidRPr="00DF5046">
              <w:rPr>
                <w:sz w:val="16"/>
                <w:szCs w:val="18"/>
              </w:rPr>
              <w:t>0.70</w:t>
            </w:r>
            <w:r w:rsidR="0004466E" w:rsidRPr="00DF5046">
              <w:rPr>
                <w:sz w:val="16"/>
                <w:szCs w:val="18"/>
              </w:rPr>
              <w:t>4</w:t>
            </w:r>
          </w:p>
        </w:tc>
        <w:tc>
          <w:tcPr>
            <w:tcW w:w="866" w:type="dxa"/>
          </w:tcPr>
          <w:p w14:paraId="5F02EED0" w14:textId="598D2D74" w:rsidR="0047690F" w:rsidRPr="00DF5046" w:rsidRDefault="009E35E9" w:rsidP="00845063">
            <w:pPr>
              <w:pStyle w:val="Paragraph"/>
              <w:ind w:firstLine="0"/>
              <w:jc w:val="center"/>
              <w:rPr>
                <w:sz w:val="16"/>
                <w:szCs w:val="18"/>
              </w:rPr>
            </w:pPr>
            <w:r w:rsidRPr="00DF5046">
              <w:rPr>
                <w:sz w:val="16"/>
                <w:szCs w:val="18"/>
              </w:rPr>
              <w:t>0.945</w:t>
            </w:r>
          </w:p>
        </w:tc>
        <w:tc>
          <w:tcPr>
            <w:tcW w:w="936" w:type="dxa"/>
          </w:tcPr>
          <w:p w14:paraId="5EF23F23" w14:textId="5118B435" w:rsidR="0047690F" w:rsidRPr="00DF5046" w:rsidRDefault="004D68C2" w:rsidP="00845063">
            <w:pPr>
              <w:pStyle w:val="Paragraph"/>
              <w:ind w:firstLine="0"/>
              <w:jc w:val="center"/>
              <w:rPr>
                <w:sz w:val="16"/>
                <w:szCs w:val="18"/>
              </w:rPr>
            </w:pPr>
            <w:r w:rsidRPr="00DF5046">
              <w:rPr>
                <w:sz w:val="16"/>
                <w:szCs w:val="18"/>
              </w:rPr>
              <w:t>0.698</w:t>
            </w:r>
          </w:p>
        </w:tc>
      </w:tr>
      <w:tr w:rsidR="0047690F" w14:paraId="014B54FE" w14:textId="77777777" w:rsidTr="003E55F3">
        <w:trPr>
          <w:jc w:val="center"/>
        </w:trPr>
        <w:tc>
          <w:tcPr>
            <w:tcW w:w="1443" w:type="dxa"/>
            <w:vAlign w:val="center"/>
          </w:tcPr>
          <w:p w14:paraId="73CB14A3" w14:textId="326B4373" w:rsidR="00617E8C" w:rsidRPr="00DF5046" w:rsidRDefault="00617E8C" w:rsidP="00845063">
            <w:pPr>
              <w:pStyle w:val="Paragraph"/>
              <w:ind w:firstLine="0"/>
              <w:jc w:val="center"/>
              <w:rPr>
                <w:b/>
                <w:bCs/>
                <w:sz w:val="16"/>
                <w:szCs w:val="18"/>
              </w:rPr>
            </w:pPr>
            <w:r w:rsidRPr="00DF5046">
              <w:rPr>
                <w:b/>
                <w:bCs/>
                <w:sz w:val="16"/>
                <w:szCs w:val="18"/>
              </w:rPr>
              <w:t>v</w:t>
            </w:r>
            <w:r w:rsidRPr="001F6576">
              <w:rPr>
                <w:b/>
                <w:bCs/>
                <w:sz w:val="16"/>
                <w:szCs w:val="18"/>
                <w:vertAlign w:val="subscript"/>
              </w:rPr>
              <w:t>e</w:t>
            </w:r>
            <w:r w:rsidR="001F6576" w:rsidRPr="001F6576">
              <w:rPr>
                <w:b/>
                <w:bCs/>
                <w:sz w:val="16"/>
                <w:szCs w:val="18"/>
                <w:vertAlign w:val="subscript"/>
              </w:rPr>
              <w:t>c</w:t>
            </w:r>
          </w:p>
        </w:tc>
        <w:tc>
          <w:tcPr>
            <w:tcW w:w="866" w:type="dxa"/>
            <w:vAlign w:val="center"/>
          </w:tcPr>
          <w:p w14:paraId="50E3B191" w14:textId="54CAE128" w:rsidR="0047690F" w:rsidRPr="00DF5046" w:rsidRDefault="002F3BE7" w:rsidP="00845063">
            <w:pPr>
              <w:pStyle w:val="Paragraph"/>
              <w:ind w:firstLine="0"/>
              <w:jc w:val="center"/>
              <w:rPr>
                <w:sz w:val="16"/>
                <w:szCs w:val="18"/>
              </w:rPr>
            </w:pPr>
            <w:r w:rsidRPr="00DF5046">
              <w:rPr>
                <w:sz w:val="16"/>
                <w:szCs w:val="18"/>
              </w:rPr>
              <w:t>0.785</w:t>
            </w:r>
          </w:p>
        </w:tc>
        <w:tc>
          <w:tcPr>
            <w:tcW w:w="936" w:type="dxa"/>
            <w:vAlign w:val="center"/>
          </w:tcPr>
          <w:p w14:paraId="4A1FE75C" w14:textId="30ECEE60" w:rsidR="0047690F" w:rsidRPr="00DF5046" w:rsidRDefault="0004466E" w:rsidP="00845063">
            <w:pPr>
              <w:pStyle w:val="Paragraph"/>
              <w:ind w:firstLine="0"/>
              <w:jc w:val="center"/>
              <w:rPr>
                <w:sz w:val="16"/>
                <w:szCs w:val="18"/>
              </w:rPr>
            </w:pPr>
            <w:r w:rsidRPr="00DF5046">
              <w:rPr>
                <w:sz w:val="16"/>
                <w:szCs w:val="18"/>
              </w:rPr>
              <w:t>0.099</w:t>
            </w:r>
          </w:p>
        </w:tc>
        <w:tc>
          <w:tcPr>
            <w:tcW w:w="867" w:type="dxa"/>
          </w:tcPr>
          <w:p w14:paraId="04E28966" w14:textId="3DC9DC1F" w:rsidR="0047690F" w:rsidRPr="00DF5046" w:rsidRDefault="002F3BE7" w:rsidP="00845063">
            <w:pPr>
              <w:pStyle w:val="Paragraph"/>
              <w:ind w:firstLine="0"/>
              <w:jc w:val="center"/>
              <w:rPr>
                <w:sz w:val="16"/>
                <w:szCs w:val="18"/>
              </w:rPr>
            </w:pPr>
            <w:r w:rsidRPr="00DF5046">
              <w:rPr>
                <w:sz w:val="16"/>
                <w:szCs w:val="18"/>
              </w:rPr>
              <w:t>0.791</w:t>
            </w:r>
          </w:p>
        </w:tc>
        <w:tc>
          <w:tcPr>
            <w:tcW w:w="936" w:type="dxa"/>
          </w:tcPr>
          <w:p w14:paraId="750014DD" w14:textId="0F6EA48D" w:rsidR="0047690F" w:rsidRPr="00DF5046" w:rsidRDefault="00442934" w:rsidP="00845063">
            <w:pPr>
              <w:pStyle w:val="Paragraph"/>
              <w:ind w:firstLine="0"/>
              <w:jc w:val="center"/>
              <w:rPr>
                <w:sz w:val="16"/>
                <w:szCs w:val="18"/>
              </w:rPr>
            </w:pPr>
            <w:r w:rsidRPr="00DF5046">
              <w:rPr>
                <w:sz w:val="16"/>
                <w:szCs w:val="18"/>
              </w:rPr>
              <w:t>0.103</w:t>
            </w:r>
          </w:p>
        </w:tc>
        <w:tc>
          <w:tcPr>
            <w:tcW w:w="866" w:type="dxa"/>
          </w:tcPr>
          <w:p w14:paraId="5985E3D9" w14:textId="3026E6C6" w:rsidR="0047690F" w:rsidRPr="00DF5046" w:rsidRDefault="009E35E9" w:rsidP="00845063">
            <w:pPr>
              <w:pStyle w:val="Paragraph"/>
              <w:ind w:firstLine="0"/>
              <w:jc w:val="center"/>
              <w:rPr>
                <w:sz w:val="16"/>
                <w:szCs w:val="18"/>
              </w:rPr>
            </w:pPr>
            <w:r w:rsidRPr="00DF5046">
              <w:rPr>
                <w:sz w:val="16"/>
                <w:szCs w:val="18"/>
              </w:rPr>
              <w:t>0.784</w:t>
            </w:r>
          </w:p>
        </w:tc>
        <w:tc>
          <w:tcPr>
            <w:tcW w:w="936" w:type="dxa"/>
          </w:tcPr>
          <w:p w14:paraId="07E9B204" w14:textId="3BC64905" w:rsidR="0047690F" w:rsidRPr="00DF5046" w:rsidRDefault="004D68C2" w:rsidP="00845063">
            <w:pPr>
              <w:pStyle w:val="Paragraph"/>
              <w:ind w:firstLine="0"/>
              <w:jc w:val="center"/>
              <w:rPr>
                <w:sz w:val="16"/>
                <w:szCs w:val="18"/>
              </w:rPr>
            </w:pPr>
            <w:r w:rsidRPr="00DF5046">
              <w:rPr>
                <w:sz w:val="16"/>
                <w:szCs w:val="18"/>
              </w:rPr>
              <w:t>0.116</w:t>
            </w:r>
          </w:p>
        </w:tc>
      </w:tr>
      <w:tr w:rsidR="0047690F" w14:paraId="3A2CEBB2" w14:textId="77777777" w:rsidTr="003E55F3">
        <w:trPr>
          <w:jc w:val="center"/>
        </w:trPr>
        <w:tc>
          <w:tcPr>
            <w:tcW w:w="1443" w:type="dxa"/>
            <w:vAlign w:val="center"/>
          </w:tcPr>
          <w:p w14:paraId="4F99263F" w14:textId="58076DE4" w:rsidR="0047690F" w:rsidRPr="00DF5046" w:rsidRDefault="00617E8C" w:rsidP="00845063">
            <w:pPr>
              <w:pStyle w:val="Paragraph"/>
              <w:ind w:firstLine="0"/>
              <w:jc w:val="center"/>
              <w:rPr>
                <w:b/>
                <w:bCs/>
                <w:sz w:val="16"/>
                <w:szCs w:val="18"/>
              </w:rPr>
            </w:pPr>
            <w:r w:rsidRPr="00DF5046">
              <w:rPr>
                <w:b/>
                <w:bCs/>
                <w:sz w:val="16"/>
                <w:szCs w:val="18"/>
              </w:rPr>
              <w:t>v</w:t>
            </w:r>
            <w:r w:rsidRPr="001F6576">
              <w:rPr>
                <w:b/>
                <w:bCs/>
                <w:sz w:val="16"/>
                <w:szCs w:val="18"/>
                <w:vertAlign w:val="subscript"/>
              </w:rPr>
              <w:t>iso</w:t>
            </w:r>
          </w:p>
        </w:tc>
        <w:tc>
          <w:tcPr>
            <w:tcW w:w="866" w:type="dxa"/>
            <w:vAlign w:val="center"/>
          </w:tcPr>
          <w:p w14:paraId="415D1A60" w14:textId="3148F139" w:rsidR="0047690F" w:rsidRPr="00DF5046" w:rsidRDefault="002F3BE7" w:rsidP="00845063">
            <w:pPr>
              <w:pStyle w:val="Paragraph"/>
              <w:ind w:firstLine="0"/>
              <w:jc w:val="center"/>
              <w:rPr>
                <w:sz w:val="16"/>
                <w:szCs w:val="18"/>
              </w:rPr>
            </w:pPr>
            <w:r w:rsidRPr="00DF5046">
              <w:rPr>
                <w:sz w:val="16"/>
                <w:szCs w:val="18"/>
              </w:rPr>
              <w:t>0.884</w:t>
            </w:r>
          </w:p>
        </w:tc>
        <w:tc>
          <w:tcPr>
            <w:tcW w:w="936" w:type="dxa"/>
            <w:vAlign w:val="center"/>
          </w:tcPr>
          <w:p w14:paraId="2BC9A666" w14:textId="4C5D0388" w:rsidR="0047690F" w:rsidRPr="00DF5046" w:rsidRDefault="0004466E" w:rsidP="00845063">
            <w:pPr>
              <w:pStyle w:val="Paragraph"/>
              <w:ind w:firstLine="0"/>
              <w:jc w:val="center"/>
              <w:rPr>
                <w:sz w:val="16"/>
                <w:szCs w:val="18"/>
              </w:rPr>
            </w:pPr>
            <w:r w:rsidRPr="00DF5046">
              <w:rPr>
                <w:sz w:val="16"/>
                <w:szCs w:val="18"/>
              </w:rPr>
              <w:t>0.484</w:t>
            </w:r>
          </w:p>
        </w:tc>
        <w:tc>
          <w:tcPr>
            <w:tcW w:w="867" w:type="dxa"/>
          </w:tcPr>
          <w:p w14:paraId="6A00B5B2" w14:textId="366D28EB" w:rsidR="0047690F" w:rsidRPr="00DF5046" w:rsidRDefault="002F3BE7" w:rsidP="00845063">
            <w:pPr>
              <w:pStyle w:val="Paragraph"/>
              <w:ind w:firstLine="0"/>
              <w:jc w:val="center"/>
              <w:rPr>
                <w:sz w:val="16"/>
                <w:szCs w:val="18"/>
              </w:rPr>
            </w:pPr>
            <w:r w:rsidRPr="00DF5046">
              <w:rPr>
                <w:sz w:val="16"/>
                <w:szCs w:val="18"/>
              </w:rPr>
              <w:t>0.887</w:t>
            </w:r>
          </w:p>
        </w:tc>
        <w:tc>
          <w:tcPr>
            <w:tcW w:w="936" w:type="dxa"/>
          </w:tcPr>
          <w:p w14:paraId="292E54D9" w14:textId="2782CE2E" w:rsidR="0047690F" w:rsidRPr="00DF5046" w:rsidRDefault="00442934" w:rsidP="00845063">
            <w:pPr>
              <w:pStyle w:val="Paragraph"/>
              <w:ind w:firstLine="0"/>
              <w:jc w:val="center"/>
              <w:rPr>
                <w:sz w:val="16"/>
                <w:szCs w:val="18"/>
              </w:rPr>
            </w:pPr>
            <w:r w:rsidRPr="00DF5046">
              <w:rPr>
                <w:sz w:val="16"/>
                <w:szCs w:val="18"/>
              </w:rPr>
              <w:t>0.48</w:t>
            </w:r>
            <w:r w:rsidR="0004466E" w:rsidRPr="00DF5046">
              <w:rPr>
                <w:sz w:val="16"/>
                <w:szCs w:val="18"/>
              </w:rPr>
              <w:t>8</w:t>
            </w:r>
          </w:p>
        </w:tc>
        <w:tc>
          <w:tcPr>
            <w:tcW w:w="866" w:type="dxa"/>
          </w:tcPr>
          <w:p w14:paraId="3A5F6A36" w14:textId="66DED7DB" w:rsidR="0047690F" w:rsidRPr="00DF5046" w:rsidRDefault="009E35E9" w:rsidP="00845063">
            <w:pPr>
              <w:pStyle w:val="Paragraph"/>
              <w:ind w:firstLine="0"/>
              <w:jc w:val="center"/>
              <w:rPr>
                <w:sz w:val="16"/>
                <w:szCs w:val="18"/>
              </w:rPr>
            </w:pPr>
            <w:r w:rsidRPr="00DF5046">
              <w:rPr>
                <w:sz w:val="16"/>
                <w:szCs w:val="18"/>
              </w:rPr>
              <w:t>0.867</w:t>
            </w:r>
          </w:p>
        </w:tc>
        <w:tc>
          <w:tcPr>
            <w:tcW w:w="936" w:type="dxa"/>
          </w:tcPr>
          <w:p w14:paraId="7824F83F" w14:textId="40EC10A5" w:rsidR="0047690F" w:rsidRPr="00DF5046" w:rsidRDefault="004D68C2" w:rsidP="00845063">
            <w:pPr>
              <w:pStyle w:val="Paragraph"/>
              <w:ind w:firstLine="0"/>
              <w:jc w:val="center"/>
              <w:rPr>
                <w:sz w:val="16"/>
                <w:szCs w:val="18"/>
              </w:rPr>
            </w:pPr>
            <w:r w:rsidRPr="00DF5046">
              <w:rPr>
                <w:sz w:val="16"/>
                <w:szCs w:val="18"/>
              </w:rPr>
              <w:t>0.495</w:t>
            </w:r>
          </w:p>
        </w:tc>
      </w:tr>
      <w:tr w:rsidR="0047690F" w14:paraId="4408189E" w14:textId="77777777" w:rsidTr="003E55F3">
        <w:trPr>
          <w:jc w:val="center"/>
        </w:trPr>
        <w:tc>
          <w:tcPr>
            <w:tcW w:w="1443" w:type="dxa"/>
            <w:vAlign w:val="center"/>
          </w:tcPr>
          <w:p w14:paraId="09B70724" w14:textId="300F98DF" w:rsidR="0047690F" w:rsidRPr="00DF5046" w:rsidRDefault="003E55F3" w:rsidP="00845063">
            <w:pPr>
              <w:pStyle w:val="Paragraph"/>
              <w:ind w:firstLine="0"/>
              <w:jc w:val="center"/>
              <w:rPr>
                <w:b/>
                <w:bCs/>
                <w:sz w:val="16"/>
                <w:szCs w:val="18"/>
              </w:rPr>
            </w:pPr>
            <w:r>
              <w:rPr>
                <w:b/>
                <w:bCs/>
                <w:sz w:val="16"/>
                <w:szCs w:val="18"/>
              </w:rPr>
              <w:t>v</w:t>
            </w:r>
            <w:r w:rsidR="004D68C2" w:rsidRPr="001F6576">
              <w:rPr>
                <w:b/>
                <w:bCs/>
                <w:sz w:val="16"/>
                <w:szCs w:val="18"/>
                <w:vertAlign w:val="subscript"/>
              </w:rPr>
              <w:t>in</w:t>
            </w:r>
          </w:p>
        </w:tc>
        <w:tc>
          <w:tcPr>
            <w:tcW w:w="866" w:type="dxa"/>
            <w:vAlign w:val="center"/>
          </w:tcPr>
          <w:p w14:paraId="4D999F6F" w14:textId="10D1BD0E" w:rsidR="0047690F" w:rsidRPr="00DF5046" w:rsidRDefault="002F3BE7" w:rsidP="00845063">
            <w:pPr>
              <w:pStyle w:val="Paragraph"/>
              <w:ind w:firstLine="0"/>
              <w:jc w:val="center"/>
              <w:rPr>
                <w:sz w:val="16"/>
                <w:szCs w:val="18"/>
              </w:rPr>
            </w:pPr>
            <w:r w:rsidRPr="00DF5046">
              <w:rPr>
                <w:sz w:val="16"/>
                <w:szCs w:val="18"/>
              </w:rPr>
              <w:t>0.833</w:t>
            </w:r>
          </w:p>
        </w:tc>
        <w:tc>
          <w:tcPr>
            <w:tcW w:w="936" w:type="dxa"/>
            <w:vAlign w:val="center"/>
          </w:tcPr>
          <w:p w14:paraId="19863760" w14:textId="1D92C8C4" w:rsidR="0047690F" w:rsidRPr="00DF5046" w:rsidRDefault="0004466E" w:rsidP="00845063">
            <w:pPr>
              <w:pStyle w:val="Paragraph"/>
              <w:ind w:firstLine="0"/>
              <w:jc w:val="center"/>
              <w:rPr>
                <w:sz w:val="16"/>
                <w:szCs w:val="18"/>
              </w:rPr>
            </w:pPr>
            <w:r w:rsidRPr="00DF5046">
              <w:rPr>
                <w:sz w:val="16"/>
                <w:szCs w:val="18"/>
              </w:rPr>
              <w:t>0.225</w:t>
            </w:r>
          </w:p>
        </w:tc>
        <w:tc>
          <w:tcPr>
            <w:tcW w:w="867" w:type="dxa"/>
          </w:tcPr>
          <w:p w14:paraId="4D070D61" w14:textId="059215D5" w:rsidR="0047690F" w:rsidRPr="00DF5046" w:rsidRDefault="002F3BE7" w:rsidP="00845063">
            <w:pPr>
              <w:pStyle w:val="Paragraph"/>
              <w:ind w:firstLine="0"/>
              <w:jc w:val="center"/>
              <w:rPr>
                <w:sz w:val="16"/>
                <w:szCs w:val="18"/>
              </w:rPr>
            </w:pPr>
            <w:r w:rsidRPr="00DF5046">
              <w:rPr>
                <w:sz w:val="16"/>
                <w:szCs w:val="18"/>
              </w:rPr>
              <w:t>0.823</w:t>
            </w:r>
          </w:p>
        </w:tc>
        <w:tc>
          <w:tcPr>
            <w:tcW w:w="936" w:type="dxa"/>
          </w:tcPr>
          <w:p w14:paraId="22992239" w14:textId="31DF04A4" w:rsidR="0047690F" w:rsidRPr="00DF5046" w:rsidRDefault="00442934" w:rsidP="00845063">
            <w:pPr>
              <w:pStyle w:val="Paragraph"/>
              <w:ind w:firstLine="0"/>
              <w:jc w:val="center"/>
              <w:rPr>
                <w:sz w:val="16"/>
                <w:szCs w:val="18"/>
              </w:rPr>
            </w:pPr>
            <w:r w:rsidRPr="00DF5046">
              <w:rPr>
                <w:sz w:val="16"/>
                <w:szCs w:val="18"/>
              </w:rPr>
              <w:t>0.21</w:t>
            </w:r>
            <w:r w:rsidR="0004466E" w:rsidRPr="00DF5046">
              <w:rPr>
                <w:sz w:val="16"/>
                <w:szCs w:val="18"/>
              </w:rPr>
              <w:t>8</w:t>
            </w:r>
          </w:p>
        </w:tc>
        <w:tc>
          <w:tcPr>
            <w:tcW w:w="866" w:type="dxa"/>
          </w:tcPr>
          <w:p w14:paraId="67C2B255" w14:textId="0CC57DCC" w:rsidR="0047690F" w:rsidRPr="00DF5046" w:rsidRDefault="00F50CE5" w:rsidP="00845063">
            <w:pPr>
              <w:pStyle w:val="Paragraph"/>
              <w:ind w:firstLine="0"/>
              <w:jc w:val="center"/>
              <w:rPr>
                <w:sz w:val="16"/>
                <w:szCs w:val="18"/>
              </w:rPr>
            </w:pPr>
            <w:r w:rsidRPr="00DF5046">
              <w:rPr>
                <w:sz w:val="16"/>
                <w:szCs w:val="18"/>
              </w:rPr>
              <w:t>0.823</w:t>
            </w:r>
          </w:p>
        </w:tc>
        <w:tc>
          <w:tcPr>
            <w:tcW w:w="936" w:type="dxa"/>
          </w:tcPr>
          <w:p w14:paraId="3340479D" w14:textId="3BC34D3A" w:rsidR="0047690F" w:rsidRPr="00DF5046" w:rsidRDefault="004D68C2" w:rsidP="00845063">
            <w:pPr>
              <w:pStyle w:val="Paragraph"/>
              <w:ind w:firstLine="0"/>
              <w:jc w:val="center"/>
              <w:rPr>
                <w:sz w:val="16"/>
                <w:szCs w:val="18"/>
              </w:rPr>
            </w:pPr>
            <w:r w:rsidRPr="00DF5046">
              <w:rPr>
                <w:sz w:val="16"/>
                <w:szCs w:val="18"/>
              </w:rPr>
              <w:t>0.065</w:t>
            </w:r>
          </w:p>
        </w:tc>
      </w:tr>
    </w:tbl>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7CEFFE4A" w14:textId="37FD2CBA" w:rsidR="000377C6" w:rsidRDefault="000377C6" w:rsidP="000377C6">
      <w:pPr>
        <w:pStyle w:val="Paragraph"/>
        <w:ind w:firstLine="0"/>
      </w:pPr>
      <w:r>
        <w:t>Deep learning models significantly outperform traditional numerical method, achieving MSSIM values over 0.8 for all parameters except v</w:t>
      </w:r>
      <w:r w:rsidRPr="000377C6">
        <w:rPr>
          <w:vertAlign w:val="subscript"/>
        </w:rPr>
        <w:t>ec</w:t>
      </w:r>
      <w:r>
        <w:t xml:space="preserve">, even with only 6 gradient directions. </w:t>
      </w:r>
    </w:p>
    <w:p w14:paraId="73D039BE" w14:textId="0D432063" w:rsidR="00F936E4" w:rsidRDefault="000377C6" w:rsidP="000377C6">
      <w:pPr>
        <w:pStyle w:val="Paragraph"/>
        <w:ind w:firstLine="0"/>
      </w:pPr>
      <w:r>
        <w:t>To better assess ability of artificial intelligence to estimate microstructural parameters, we should move beyond U-Net to more advanced models like GANs, and focus on metrics more clinically relevant than MSSIM, particularly in key regions of the brain. It's also crucial to determine if these models can effectively differentiate parameter values between healthy individuals and those with diseases to support accurate diagnosis.</w:t>
      </w:r>
    </w:p>
    <w:p w14:paraId="02136290" w14:textId="7356A5ED" w:rsidR="009A2E97" w:rsidRPr="00845063" w:rsidRDefault="00C60CA8" w:rsidP="00615936">
      <w:pPr>
        <w:pStyle w:val="List-numbered-bold"/>
        <w:jc w:val="both"/>
        <w:rPr>
          <w:b w:val="0"/>
          <w:sz w:val="16"/>
        </w:rPr>
      </w:pPr>
      <w:r w:rsidRPr="00B96099">
        <w:rPr>
          <w:sz w:val="18"/>
          <w:szCs w:val="18"/>
        </w:rPr>
        <w:t>Acknowledgements.</w:t>
      </w:r>
      <w:r w:rsidR="00B324DB">
        <w:rPr>
          <w:sz w:val="18"/>
          <w:szCs w:val="18"/>
        </w:rPr>
        <w:t xml:space="preserve"> </w:t>
      </w:r>
      <w:r w:rsidR="007B741B" w:rsidRPr="00845063">
        <w:rPr>
          <w:b w:val="0"/>
          <w:sz w:val="16"/>
        </w:rPr>
        <w:t>The numerical experiment was possible through computing allocation on the Ares and Athena systems at ACC Cyfronet AGH under the grant PLG/2025/018009. This work is supported by the European Union’s Horizon 2020 research and innovation programme under grant agreement No 857533 and the International Research Agendas Programme of the Foundation for Polish Science No MAB PLUS/2019/13. This publication was created within the project of the Minister of Science and Higher Education "Support for the activity of Centers of Excellence established in Poland under Horizon 2020" on the basis of the contract number MEiN/2023/DIR/3796. Tomasz Pieciak acknowledges the NAWA for grant PPN/BEK/2019/1/00421 and the Ministry of Science and Higher Education  under the scholarship for outstanding young scientists (692/STY/13/2018).</w:t>
      </w:r>
    </w:p>
    <w:p w14:paraId="4B263174" w14:textId="77777777" w:rsidR="00615936" w:rsidRDefault="00847506" w:rsidP="00615936">
      <w:pPr>
        <w:pStyle w:val="List-numbered-bold"/>
        <w:ind w:left="227" w:hanging="227"/>
      </w:pPr>
      <w:r>
        <w:t>References</w:t>
      </w:r>
    </w:p>
    <w:p w14:paraId="4E1DFE68" w14:textId="3806DEEA" w:rsidR="00E12949" w:rsidRPr="007B455B" w:rsidRDefault="00E12949" w:rsidP="00AD3CB3">
      <w:pPr>
        <w:pStyle w:val="References"/>
        <w:numPr>
          <w:ilvl w:val="0"/>
          <w:numId w:val="32"/>
        </w:numPr>
        <w:ind w:left="340" w:hanging="170"/>
        <w:rPr>
          <w:sz w:val="14"/>
          <w:szCs w:val="14"/>
          <w:lang w:val="en-US"/>
        </w:rPr>
      </w:pPr>
      <w:r w:rsidRPr="007B455B">
        <w:rPr>
          <w:sz w:val="14"/>
          <w:szCs w:val="14"/>
          <w:lang w:val="en-US"/>
        </w:rPr>
        <w:t xml:space="preserve">L. J. O’Donnell, et al.: </w:t>
      </w:r>
      <w:r w:rsidRPr="007B455B">
        <w:rPr>
          <w:i/>
          <w:iCs/>
          <w:sz w:val="14"/>
          <w:szCs w:val="14"/>
          <w:lang w:val="en-US"/>
        </w:rPr>
        <w:t>An introduction to diffusion tensor image analysis</w:t>
      </w:r>
      <w:r w:rsidRPr="007B455B">
        <w:rPr>
          <w:sz w:val="14"/>
          <w:szCs w:val="14"/>
          <w:lang w:val="en-US"/>
        </w:rPr>
        <w:t xml:space="preserve">, Neurosurgery </w:t>
      </w:r>
      <w:r w:rsidR="00AD3CB3" w:rsidRPr="007B455B">
        <w:rPr>
          <w:sz w:val="14"/>
          <w:szCs w:val="14"/>
          <w:lang w:val="en-US"/>
        </w:rPr>
        <w:t>c</w:t>
      </w:r>
      <w:r w:rsidRPr="007B455B">
        <w:rPr>
          <w:sz w:val="14"/>
          <w:szCs w:val="14"/>
          <w:lang w:val="en-US"/>
        </w:rPr>
        <w:t>linics 22(2), 185-196, 2011.</w:t>
      </w:r>
    </w:p>
    <w:p w14:paraId="3BAAD141" w14:textId="454AE064" w:rsidR="00E12949" w:rsidRPr="007B455B" w:rsidRDefault="00E12949" w:rsidP="00AD3CB3">
      <w:pPr>
        <w:pStyle w:val="References"/>
        <w:numPr>
          <w:ilvl w:val="0"/>
          <w:numId w:val="32"/>
        </w:numPr>
        <w:ind w:left="340" w:hanging="170"/>
        <w:rPr>
          <w:sz w:val="14"/>
          <w:szCs w:val="14"/>
          <w:lang w:val="en-US"/>
        </w:rPr>
      </w:pPr>
      <w:r w:rsidRPr="007B455B">
        <w:rPr>
          <w:sz w:val="14"/>
          <w:szCs w:val="14"/>
          <w:lang w:val="en-US"/>
        </w:rPr>
        <w:t xml:space="preserve">P. J. Basser, et al.: </w:t>
      </w:r>
      <w:r w:rsidRPr="007B455B">
        <w:rPr>
          <w:i/>
          <w:iCs/>
          <w:sz w:val="14"/>
          <w:szCs w:val="14"/>
          <w:lang w:val="en-US"/>
        </w:rPr>
        <w:t>MR diffusion tensor spectroscopy and imaging</w:t>
      </w:r>
      <w:r w:rsidRPr="007B455B">
        <w:rPr>
          <w:sz w:val="14"/>
          <w:szCs w:val="14"/>
          <w:lang w:val="en-US"/>
        </w:rPr>
        <w:t>, Biophysical journal 66(1), 259-267, 1994.</w:t>
      </w:r>
    </w:p>
    <w:p w14:paraId="5D67553F" w14:textId="6D49BAF7" w:rsidR="002A7987" w:rsidRPr="007B455B" w:rsidRDefault="002A7987" w:rsidP="00AD3CB3">
      <w:pPr>
        <w:pStyle w:val="References"/>
        <w:numPr>
          <w:ilvl w:val="0"/>
          <w:numId w:val="32"/>
        </w:numPr>
        <w:ind w:left="340" w:hanging="170"/>
        <w:rPr>
          <w:sz w:val="14"/>
          <w:szCs w:val="14"/>
          <w:lang w:val="en-US"/>
        </w:rPr>
      </w:pPr>
      <w:bookmarkStart w:id="0" w:name="_Hlk206597341"/>
      <w:r w:rsidRPr="007B455B">
        <w:rPr>
          <w:sz w:val="14"/>
          <w:szCs w:val="14"/>
          <w:lang w:val="en-US"/>
        </w:rPr>
        <w:t>I. O. Jelescu, et al</w:t>
      </w:r>
      <w:r w:rsidRPr="007B455B">
        <w:rPr>
          <w:i/>
          <w:iCs/>
          <w:sz w:val="14"/>
          <w:szCs w:val="14"/>
          <w:lang w:val="en-US"/>
        </w:rPr>
        <w:t>.: Design and validation of diffusion MRI models of white matter</w:t>
      </w:r>
      <w:r w:rsidRPr="007B455B">
        <w:rPr>
          <w:sz w:val="14"/>
          <w:szCs w:val="14"/>
          <w:lang w:val="en-US"/>
        </w:rPr>
        <w:t>, Frontiers in physics 5, 61, 2017.</w:t>
      </w:r>
    </w:p>
    <w:p w14:paraId="08E03803" w14:textId="409694F6" w:rsidR="00AD3CB3" w:rsidRPr="007B455B" w:rsidRDefault="00AD3CB3" w:rsidP="00AD3CB3">
      <w:pPr>
        <w:pStyle w:val="References"/>
        <w:numPr>
          <w:ilvl w:val="0"/>
          <w:numId w:val="32"/>
        </w:numPr>
        <w:ind w:left="340" w:hanging="170"/>
        <w:rPr>
          <w:sz w:val="14"/>
          <w:szCs w:val="14"/>
          <w:lang w:val="en-US"/>
        </w:rPr>
      </w:pPr>
      <w:r w:rsidRPr="007B455B">
        <w:rPr>
          <w:sz w:val="14"/>
          <w:szCs w:val="14"/>
          <w:lang w:val="en-US"/>
        </w:rPr>
        <w:t xml:space="preserve">H. Zhang, et al.: </w:t>
      </w:r>
      <w:r w:rsidRPr="007B455B">
        <w:rPr>
          <w:i/>
          <w:iCs/>
          <w:sz w:val="14"/>
          <w:szCs w:val="14"/>
          <w:lang w:val="en-US"/>
        </w:rPr>
        <w:t>NODDI: practical in vivo neurite orientation dispersion and density imaging of the human brain</w:t>
      </w:r>
      <w:r w:rsidRPr="007B455B">
        <w:rPr>
          <w:sz w:val="14"/>
          <w:szCs w:val="14"/>
          <w:lang w:val="en-US"/>
        </w:rPr>
        <w:t>, Neuroimage 61(4), 1000-1016, 2012</w:t>
      </w:r>
      <w:r w:rsidR="002A7987" w:rsidRPr="007B455B">
        <w:rPr>
          <w:sz w:val="14"/>
          <w:szCs w:val="14"/>
          <w:lang w:val="en-US"/>
        </w:rPr>
        <w:t>.</w:t>
      </w:r>
    </w:p>
    <w:p w14:paraId="0C3386B6" w14:textId="15C02F38" w:rsidR="00AD3CB3" w:rsidRPr="007B455B" w:rsidRDefault="00AD3CB3" w:rsidP="00AD3CB3">
      <w:pPr>
        <w:pStyle w:val="References"/>
        <w:numPr>
          <w:ilvl w:val="0"/>
          <w:numId w:val="32"/>
        </w:numPr>
        <w:ind w:left="340" w:hanging="170"/>
        <w:rPr>
          <w:sz w:val="14"/>
          <w:szCs w:val="14"/>
          <w:lang w:val="en-US"/>
        </w:rPr>
      </w:pPr>
      <w:r w:rsidRPr="007B455B">
        <w:rPr>
          <w:sz w:val="14"/>
          <w:szCs w:val="14"/>
          <w:lang w:val="en-US"/>
        </w:rPr>
        <w:t xml:space="preserve">E. Kaden, et al.: </w:t>
      </w:r>
      <w:r w:rsidRPr="007B455B">
        <w:rPr>
          <w:i/>
          <w:iCs/>
          <w:sz w:val="14"/>
          <w:szCs w:val="14"/>
          <w:lang w:val="en-US"/>
        </w:rPr>
        <w:t>Quantitative mapping of the per‐axon diffusion coefficients in brain white matter</w:t>
      </w:r>
      <w:r w:rsidRPr="007B455B">
        <w:rPr>
          <w:sz w:val="14"/>
          <w:szCs w:val="14"/>
          <w:lang w:val="en-US"/>
        </w:rPr>
        <w:t>, Magnetic resonance in medicine 75(4), 1752-1763, 2016.</w:t>
      </w:r>
      <w:bookmarkEnd w:id="0"/>
      <w:r w:rsidRPr="007B455B">
        <w:rPr>
          <w:sz w:val="14"/>
          <w:szCs w:val="14"/>
          <w:lang w:val="en-US"/>
        </w:rPr>
        <w:t xml:space="preserve"> </w:t>
      </w:r>
    </w:p>
    <w:p w14:paraId="4E34ED19" w14:textId="5F78B5E4" w:rsidR="00AA10E5" w:rsidRPr="007B455B" w:rsidRDefault="00AA10E5" w:rsidP="00AA10E5">
      <w:pPr>
        <w:pStyle w:val="References"/>
        <w:numPr>
          <w:ilvl w:val="0"/>
          <w:numId w:val="32"/>
        </w:numPr>
        <w:ind w:left="340" w:hanging="170"/>
        <w:rPr>
          <w:sz w:val="14"/>
          <w:szCs w:val="14"/>
          <w:lang w:val="en-US"/>
        </w:rPr>
      </w:pPr>
      <w:r w:rsidRPr="007B455B">
        <w:rPr>
          <w:sz w:val="14"/>
          <w:szCs w:val="14"/>
          <w:lang w:val="en-US"/>
        </w:rPr>
        <w:t xml:space="preserve">E. K. Gibbons, et al.: </w:t>
      </w:r>
      <w:r w:rsidRPr="007B455B">
        <w:rPr>
          <w:i/>
          <w:iCs/>
          <w:sz w:val="14"/>
          <w:szCs w:val="14"/>
          <w:lang w:val="en-US"/>
        </w:rPr>
        <w:t>Simultaneous NODDI and GFA parameter map generation from subsampled q‐space imaging using deep learning</w:t>
      </w:r>
      <w:r w:rsidRPr="007B455B">
        <w:rPr>
          <w:sz w:val="14"/>
          <w:szCs w:val="14"/>
          <w:lang w:val="en-US"/>
        </w:rPr>
        <w:t>, Magnetic resonance in medicine 81(4), 2399-2411, 2019.</w:t>
      </w:r>
    </w:p>
    <w:p w14:paraId="2124A833" w14:textId="77777777" w:rsidR="00B60B9B" w:rsidRPr="007B455B" w:rsidRDefault="00AA10E5" w:rsidP="00845063">
      <w:pPr>
        <w:pStyle w:val="References"/>
        <w:numPr>
          <w:ilvl w:val="0"/>
          <w:numId w:val="32"/>
        </w:numPr>
        <w:ind w:left="340" w:hanging="170"/>
        <w:rPr>
          <w:sz w:val="14"/>
          <w:szCs w:val="14"/>
          <w:lang w:val="en-US"/>
        </w:rPr>
      </w:pPr>
      <w:r w:rsidRPr="007B455B">
        <w:rPr>
          <w:sz w:val="14"/>
          <w:szCs w:val="14"/>
          <w:lang w:val="en-US"/>
        </w:rPr>
        <w:t xml:space="preserve">A. Faiyaz, et al.: </w:t>
      </w:r>
      <w:r w:rsidRPr="007B455B">
        <w:rPr>
          <w:i/>
          <w:iCs/>
          <w:sz w:val="14"/>
          <w:szCs w:val="14"/>
          <w:lang w:val="en-US"/>
        </w:rPr>
        <w:t>Single‐shell NODDI using dictionary‐learner‐estimated isotropic volume fraction</w:t>
      </w:r>
      <w:r w:rsidRPr="007B455B">
        <w:rPr>
          <w:sz w:val="14"/>
          <w:szCs w:val="14"/>
          <w:lang w:val="en-US"/>
        </w:rPr>
        <w:t>, NMR in biomedicine 35(2), 2022</w:t>
      </w:r>
    </w:p>
    <w:p w14:paraId="6453B7E7" w14:textId="7AF9BD40" w:rsidR="00B60B9B" w:rsidRPr="007B455B" w:rsidRDefault="00B803F3" w:rsidP="00845063">
      <w:pPr>
        <w:pStyle w:val="References"/>
        <w:numPr>
          <w:ilvl w:val="0"/>
          <w:numId w:val="32"/>
        </w:numPr>
        <w:ind w:left="340" w:hanging="170"/>
        <w:rPr>
          <w:sz w:val="14"/>
          <w:szCs w:val="14"/>
          <w:lang w:val="en-US"/>
        </w:rPr>
      </w:pPr>
      <w:r w:rsidRPr="007B455B">
        <w:rPr>
          <w:sz w:val="14"/>
          <w:szCs w:val="14"/>
          <w:lang w:val="en-US"/>
        </w:rPr>
        <w:t xml:space="preserve">D. C. Van Essen, et al.: </w:t>
      </w:r>
      <w:r w:rsidRPr="007B455B">
        <w:rPr>
          <w:i/>
          <w:iCs/>
          <w:sz w:val="14"/>
          <w:szCs w:val="14"/>
          <w:lang w:val="en-US"/>
        </w:rPr>
        <w:t>The WU-Minn human connectome project: an overview</w:t>
      </w:r>
      <w:r w:rsidRPr="007B455B">
        <w:rPr>
          <w:sz w:val="14"/>
          <w:szCs w:val="14"/>
          <w:lang w:val="en-US"/>
        </w:rPr>
        <w:t>, Neuroimage 80, 62-79, 2013.</w:t>
      </w:r>
    </w:p>
    <w:p w14:paraId="09349DD7" w14:textId="2C489E82" w:rsidR="00845063" w:rsidRPr="007B455B" w:rsidRDefault="00B803F3" w:rsidP="00845063">
      <w:pPr>
        <w:pStyle w:val="References"/>
        <w:numPr>
          <w:ilvl w:val="0"/>
          <w:numId w:val="32"/>
        </w:numPr>
        <w:ind w:left="340" w:hanging="170"/>
        <w:rPr>
          <w:sz w:val="14"/>
          <w:szCs w:val="14"/>
          <w:lang w:val="en-US"/>
        </w:rPr>
      </w:pPr>
      <w:r w:rsidRPr="007B455B">
        <w:rPr>
          <w:sz w:val="14"/>
          <w:szCs w:val="14"/>
          <w:lang w:val="en-US"/>
        </w:rPr>
        <w:t xml:space="preserve">M. D. C. Valdés Hernández, et al.: </w:t>
      </w:r>
      <w:r w:rsidRPr="007B455B">
        <w:rPr>
          <w:i/>
          <w:iCs/>
          <w:sz w:val="14"/>
          <w:szCs w:val="14"/>
          <w:lang w:val="en-US"/>
        </w:rPr>
        <w:t>Rationale, design and methodology of the image analysis protocol for studies of patients with cerebral small vessel disease and mild stroke</w:t>
      </w:r>
      <w:r w:rsidRPr="007B455B">
        <w:rPr>
          <w:sz w:val="14"/>
          <w:szCs w:val="14"/>
          <w:lang w:val="en-US"/>
        </w:rPr>
        <w:t>. Brain and behavior 5(12), 2015.</w:t>
      </w:r>
    </w:p>
    <w:sectPr w:rsidR="00845063" w:rsidRPr="007B455B" w:rsidSect="00992799">
      <w:footerReference w:type="even" r:id="rId9"/>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67AD" w14:textId="77777777" w:rsidR="00887F0D" w:rsidRDefault="00887F0D" w:rsidP="00DB47A6">
      <w:pPr>
        <w:spacing w:after="0" w:line="240" w:lineRule="auto"/>
      </w:pPr>
      <w:r>
        <w:separator/>
      </w:r>
    </w:p>
  </w:endnote>
  <w:endnote w:type="continuationSeparator" w:id="0">
    <w:p w14:paraId="0DB06C73" w14:textId="77777777" w:rsidR="00887F0D" w:rsidRDefault="00887F0D"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7249" w14:textId="77777777" w:rsidR="00887F0D" w:rsidRDefault="00887F0D" w:rsidP="00DB47A6">
      <w:pPr>
        <w:spacing w:after="0" w:line="240" w:lineRule="auto"/>
      </w:pPr>
      <w:r>
        <w:separator/>
      </w:r>
    </w:p>
  </w:footnote>
  <w:footnote w:type="continuationSeparator" w:id="0">
    <w:p w14:paraId="4522ED10" w14:textId="77777777" w:rsidR="00887F0D" w:rsidRDefault="00887F0D"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AC4E27"/>
    <w:multiLevelType w:val="hybridMultilevel"/>
    <w:tmpl w:val="FD4CEBAE"/>
    <w:lvl w:ilvl="0" w:tplc="03C4B2A6">
      <w:start w:val="1"/>
      <w:numFmt w:val="decimal"/>
      <w:lvlText w:val="%1."/>
      <w:lvlJc w:val="left"/>
      <w:pPr>
        <w:ind w:left="2061"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4"/>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5"/>
  </w:num>
  <w:num w:numId="11" w16cid:durableId="1020620073">
    <w:abstractNumId w:val="21"/>
  </w:num>
  <w:num w:numId="12" w16cid:durableId="1090584583">
    <w:abstractNumId w:val="36"/>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2"/>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1"/>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10D0"/>
    <w:rsid w:val="00013ED0"/>
    <w:rsid w:val="00017A54"/>
    <w:rsid w:val="00017D3E"/>
    <w:rsid w:val="00025468"/>
    <w:rsid w:val="00026AD8"/>
    <w:rsid w:val="000315BF"/>
    <w:rsid w:val="00031672"/>
    <w:rsid w:val="00033C67"/>
    <w:rsid w:val="000377C6"/>
    <w:rsid w:val="00042206"/>
    <w:rsid w:val="0004466E"/>
    <w:rsid w:val="00046669"/>
    <w:rsid w:val="0004715A"/>
    <w:rsid w:val="00047C3A"/>
    <w:rsid w:val="000559FF"/>
    <w:rsid w:val="0006769B"/>
    <w:rsid w:val="00073FDF"/>
    <w:rsid w:val="000742DA"/>
    <w:rsid w:val="0007620B"/>
    <w:rsid w:val="00081623"/>
    <w:rsid w:val="00082248"/>
    <w:rsid w:val="00085EC1"/>
    <w:rsid w:val="00086FE8"/>
    <w:rsid w:val="000874E4"/>
    <w:rsid w:val="0008762D"/>
    <w:rsid w:val="00091BAA"/>
    <w:rsid w:val="000943AA"/>
    <w:rsid w:val="000A0879"/>
    <w:rsid w:val="000C03FB"/>
    <w:rsid w:val="000C193F"/>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60418"/>
    <w:rsid w:val="001618B3"/>
    <w:rsid w:val="0016455D"/>
    <w:rsid w:val="00166EFF"/>
    <w:rsid w:val="00167235"/>
    <w:rsid w:val="00170B75"/>
    <w:rsid w:val="0017483E"/>
    <w:rsid w:val="0017589D"/>
    <w:rsid w:val="001817D4"/>
    <w:rsid w:val="00193382"/>
    <w:rsid w:val="00193443"/>
    <w:rsid w:val="00194249"/>
    <w:rsid w:val="001A6CB6"/>
    <w:rsid w:val="001B0252"/>
    <w:rsid w:val="001B2FD4"/>
    <w:rsid w:val="001B4B8F"/>
    <w:rsid w:val="001B605E"/>
    <w:rsid w:val="001B75EF"/>
    <w:rsid w:val="001C0E9F"/>
    <w:rsid w:val="001C3460"/>
    <w:rsid w:val="001D0B91"/>
    <w:rsid w:val="001D2F14"/>
    <w:rsid w:val="001D3D29"/>
    <w:rsid w:val="001E469F"/>
    <w:rsid w:val="001E7ABD"/>
    <w:rsid w:val="001F19B0"/>
    <w:rsid w:val="001F1E61"/>
    <w:rsid w:val="001F21B4"/>
    <w:rsid w:val="001F625E"/>
    <w:rsid w:val="001F6576"/>
    <w:rsid w:val="001F6B20"/>
    <w:rsid w:val="001F7BBD"/>
    <w:rsid w:val="00211761"/>
    <w:rsid w:val="00213E19"/>
    <w:rsid w:val="002153A6"/>
    <w:rsid w:val="002169E8"/>
    <w:rsid w:val="00225917"/>
    <w:rsid w:val="00231C00"/>
    <w:rsid w:val="00240D7C"/>
    <w:rsid w:val="00246C13"/>
    <w:rsid w:val="00250AEE"/>
    <w:rsid w:val="002513D6"/>
    <w:rsid w:val="002577CB"/>
    <w:rsid w:val="0026320F"/>
    <w:rsid w:val="0026329E"/>
    <w:rsid w:val="00266694"/>
    <w:rsid w:val="00270897"/>
    <w:rsid w:val="00270A9A"/>
    <w:rsid w:val="00271E64"/>
    <w:rsid w:val="00272F45"/>
    <w:rsid w:val="00274824"/>
    <w:rsid w:val="00276C1F"/>
    <w:rsid w:val="00284E1F"/>
    <w:rsid w:val="002868DE"/>
    <w:rsid w:val="0028748D"/>
    <w:rsid w:val="002877A7"/>
    <w:rsid w:val="00295D32"/>
    <w:rsid w:val="002A2C01"/>
    <w:rsid w:val="002A2D78"/>
    <w:rsid w:val="002A3FFD"/>
    <w:rsid w:val="002A7987"/>
    <w:rsid w:val="002B1746"/>
    <w:rsid w:val="002B17E3"/>
    <w:rsid w:val="002B5C0E"/>
    <w:rsid w:val="002B5D44"/>
    <w:rsid w:val="002C57FF"/>
    <w:rsid w:val="002C717D"/>
    <w:rsid w:val="002E1342"/>
    <w:rsid w:val="002E1E03"/>
    <w:rsid w:val="002E24DC"/>
    <w:rsid w:val="002E326D"/>
    <w:rsid w:val="002F3BE7"/>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32B4"/>
    <w:rsid w:val="003C434D"/>
    <w:rsid w:val="003C62F0"/>
    <w:rsid w:val="003D4D75"/>
    <w:rsid w:val="003E015D"/>
    <w:rsid w:val="003E2660"/>
    <w:rsid w:val="003E2FA3"/>
    <w:rsid w:val="003E550E"/>
    <w:rsid w:val="003E55F3"/>
    <w:rsid w:val="003E6016"/>
    <w:rsid w:val="003F35E9"/>
    <w:rsid w:val="003F5AEA"/>
    <w:rsid w:val="003F6ABE"/>
    <w:rsid w:val="004015E3"/>
    <w:rsid w:val="00407FE5"/>
    <w:rsid w:val="00410B0A"/>
    <w:rsid w:val="00414183"/>
    <w:rsid w:val="0042010E"/>
    <w:rsid w:val="00420D73"/>
    <w:rsid w:val="00421BDC"/>
    <w:rsid w:val="00422148"/>
    <w:rsid w:val="0042399C"/>
    <w:rsid w:val="004309C7"/>
    <w:rsid w:val="00436DD2"/>
    <w:rsid w:val="00442934"/>
    <w:rsid w:val="00442D88"/>
    <w:rsid w:val="00443705"/>
    <w:rsid w:val="00443FAB"/>
    <w:rsid w:val="004440EB"/>
    <w:rsid w:val="004542CE"/>
    <w:rsid w:val="004543C1"/>
    <w:rsid w:val="00463813"/>
    <w:rsid w:val="00465904"/>
    <w:rsid w:val="00465927"/>
    <w:rsid w:val="00476607"/>
    <w:rsid w:val="0047690F"/>
    <w:rsid w:val="00483853"/>
    <w:rsid w:val="00487212"/>
    <w:rsid w:val="00490727"/>
    <w:rsid w:val="004A03BE"/>
    <w:rsid w:val="004A2A04"/>
    <w:rsid w:val="004B22D0"/>
    <w:rsid w:val="004B27B0"/>
    <w:rsid w:val="004B29AD"/>
    <w:rsid w:val="004C0DFE"/>
    <w:rsid w:val="004C11E4"/>
    <w:rsid w:val="004C2AB0"/>
    <w:rsid w:val="004D49A6"/>
    <w:rsid w:val="004D68C2"/>
    <w:rsid w:val="004D7EA6"/>
    <w:rsid w:val="004E08A0"/>
    <w:rsid w:val="004E08FC"/>
    <w:rsid w:val="004E74D3"/>
    <w:rsid w:val="004F7AFD"/>
    <w:rsid w:val="00503F0B"/>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0D13"/>
    <w:rsid w:val="005D4BA2"/>
    <w:rsid w:val="005F04F5"/>
    <w:rsid w:val="005F4405"/>
    <w:rsid w:val="005F52EE"/>
    <w:rsid w:val="0060009B"/>
    <w:rsid w:val="006014E9"/>
    <w:rsid w:val="00605A72"/>
    <w:rsid w:val="0060730A"/>
    <w:rsid w:val="00615936"/>
    <w:rsid w:val="0061771F"/>
    <w:rsid w:val="00617E8C"/>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F6"/>
    <w:rsid w:val="006A4304"/>
    <w:rsid w:val="006A6D5C"/>
    <w:rsid w:val="006B1001"/>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621F"/>
    <w:rsid w:val="007924B4"/>
    <w:rsid w:val="0079614A"/>
    <w:rsid w:val="007970E2"/>
    <w:rsid w:val="007A1D4C"/>
    <w:rsid w:val="007A2BD3"/>
    <w:rsid w:val="007A3884"/>
    <w:rsid w:val="007B3710"/>
    <w:rsid w:val="007B455B"/>
    <w:rsid w:val="007B741B"/>
    <w:rsid w:val="007B7C40"/>
    <w:rsid w:val="007C1F7A"/>
    <w:rsid w:val="007D1791"/>
    <w:rsid w:val="007E0254"/>
    <w:rsid w:val="007E17C6"/>
    <w:rsid w:val="007F0615"/>
    <w:rsid w:val="007F07E4"/>
    <w:rsid w:val="0080212C"/>
    <w:rsid w:val="00802FC8"/>
    <w:rsid w:val="008052DD"/>
    <w:rsid w:val="00826194"/>
    <w:rsid w:val="008360DF"/>
    <w:rsid w:val="00843E3A"/>
    <w:rsid w:val="00845063"/>
    <w:rsid w:val="00846891"/>
    <w:rsid w:val="00847506"/>
    <w:rsid w:val="00851BBF"/>
    <w:rsid w:val="008622FD"/>
    <w:rsid w:val="00872A73"/>
    <w:rsid w:val="00887F0D"/>
    <w:rsid w:val="008957E3"/>
    <w:rsid w:val="00895C8B"/>
    <w:rsid w:val="008A09DA"/>
    <w:rsid w:val="008A3C0F"/>
    <w:rsid w:val="008A4132"/>
    <w:rsid w:val="008A580E"/>
    <w:rsid w:val="008A74AE"/>
    <w:rsid w:val="008A7579"/>
    <w:rsid w:val="008A7B7E"/>
    <w:rsid w:val="008B05DF"/>
    <w:rsid w:val="008B50E3"/>
    <w:rsid w:val="008B5499"/>
    <w:rsid w:val="008B5B6A"/>
    <w:rsid w:val="008B6D93"/>
    <w:rsid w:val="008D6F9E"/>
    <w:rsid w:val="008E3E44"/>
    <w:rsid w:val="008E6FA1"/>
    <w:rsid w:val="008F10A2"/>
    <w:rsid w:val="008F4035"/>
    <w:rsid w:val="008F56D4"/>
    <w:rsid w:val="0090354F"/>
    <w:rsid w:val="00904643"/>
    <w:rsid w:val="00907706"/>
    <w:rsid w:val="00907A6E"/>
    <w:rsid w:val="00907FB3"/>
    <w:rsid w:val="009116D8"/>
    <w:rsid w:val="0091792B"/>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E35E9"/>
    <w:rsid w:val="009F1477"/>
    <w:rsid w:val="009F3B66"/>
    <w:rsid w:val="009F788B"/>
    <w:rsid w:val="00A0226D"/>
    <w:rsid w:val="00A02425"/>
    <w:rsid w:val="00A0368C"/>
    <w:rsid w:val="00A070F2"/>
    <w:rsid w:val="00A177B2"/>
    <w:rsid w:val="00A21D90"/>
    <w:rsid w:val="00A2371E"/>
    <w:rsid w:val="00A24BB6"/>
    <w:rsid w:val="00A30FA7"/>
    <w:rsid w:val="00A33AB3"/>
    <w:rsid w:val="00A40D77"/>
    <w:rsid w:val="00A42E52"/>
    <w:rsid w:val="00A47C2D"/>
    <w:rsid w:val="00A54630"/>
    <w:rsid w:val="00A61FEB"/>
    <w:rsid w:val="00A66980"/>
    <w:rsid w:val="00A73166"/>
    <w:rsid w:val="00A73521"/>
    <w:rsid w:val="00A760C2"/>
    <w:rsid w:val="00A777A3"/>
    <w:rsid w:val="00A8057C"/>
    <w:rsid w:val="00A80AC7"/>
    <w:rsid w:val="00A864D0"/>
    <w:rsid w:val="00A8714B"/>
    <w:rsid w:val="00A947B6"/>
    <w:rsid w:val="00AA10E5"/>
    <w:rsid w:val="00AA4988"/>
    <w:rsid w:val="00AA6A39"/>
    <w:rsid w:val="00AB1031"/>
    <w:rsid w:val="00AB1C78"/>
    <w:rsid w:val="00AB3FA6"/>
    <w:rsid w:val="00AB5A53"/>
    <w:rsid w:val="00AB774D"/>
    <w:rsid w:val="00AC1D17"/>
    <w:rsid w:val="00AC1ECF"/>
    <w:rsid w:val="00AC415A"/>
    <w:rsid w:val="00AC4FF8"/>
    <w:rsid w:val="00AD02FC"/>
    <w:rsid w:val="00AD3CB3"/>
    <w:rsid w:val="00AD61A2"/>
    <w:rsid w:val="00AE04CA"/>
    <w:rsid w:val="00AE333C"/>
    <w:rsid w:val="00AE5092"/>
    <w:rsid w:val="00AF1EF0"/>
    <w:rsid w:val="00B03690"/>
    <w:rsid w:val="00B0583E"/>
    <w:rsid w:val="00B111E2"/>
    <w:rsid w:val="00B17BFF"/>
    <w:rsid w:val="00B24314"/>
    <w:rsid w:val="00B27A3F"/>
    <w:rsid w:val="00B324DB"/>
    <w:rsid w:val="00B36D63"/>
    <w:rsid w:val="00B46142"/>
    <w:rsid w:val="00B47477"/>
    <w:rsid w:val="00B51CDF"/>
    <w:rsid w:val="00B52A8E"/>
    <w:rsid w:val="00B53316"/>
    <w:rsid w:val="00B55234"/>
    <w:rsid w:val="00B57B40"/>
    <w:rsid w:val="00B60B9B"/>
    <w:rsid w:val="00B64C0F"/>
    <w:rsid w:val="00B73364"/>
    <w:rsid w:val="00B74C24"/>
    <w:rsid w:val="00B803F3"/>
    <w:rsid w:val="00B81226"/>
    <w:rsid w:val="00B83254"/>
    <w:rsid w:val="00B90AF7"/>
    <w:rsid w:val="00B9318C"/>
    <w:rsid w:val="00B9442F"/>
    <w:rsid w:val="00B950DF"/>
    <w:rsid w:val="00B96099"/>
    <w:rsid w:val="00B96ABC"/>
    <w:rsid w:val="00BA0127"/>
    <w:rsid w:val="00BA6BD8"/>
    <w:rsid w:val="00BB17BD"/>
    <w:rsid w:val="00BC10E2"/>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72E4"/>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0FAE"/>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046"/>
    <w:rsid w:val="00DF5920"/>
    <w:rsid w:val="00DF6887"/>
    <w:rsid w:val="00E00393"/>
    <w:rsid w:val="00E04189"/>
    <w:rsid w:val="00E060F8"/>
    <w:rsid w:val="00E1015E"/>
    <w:rsid w:val="00E115C2"/>
    <w:rsid w:val="00E12949"/>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3CCE"/>
    <w:rsid w:val="00EA49F9"/>
    <w:rsid w:val="00EA7E87"/>
    <w:rsid w:val="00EB0C67"/>
    <w:rsid w:val="00EB1E53"/>
    <w:rsid w:val="00EC0FFB"/>
    <w:rsid w:val="00EC1CDA"/>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09E6"/>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0CE5"/>
    <w:rsid w:val="00F55A3A"/>
    <w:rsid w:val="00F743A1"/>
    <w:rsid w:val="00F77C21"/>
    <w:rsid w:val="00F87894"/>
    <w:rsid w:val="00F91750"/>
    <w:rsid w:val="00F936E4"/>
    <w:rsid w:val="00F9371F"/>
    <w:rsid w:val="00F94CE1"/>
    <w:rsid w:val="00FA321E"/>
    <w:rsid w:val="00FA5442"/>
    <w:rsid w:val="00FA6173"/>
    <w:rsid w:val="00FB34DF"/>
    <w:rsid w:val="00FC0F3E"/>
    <w:rsid w:val="00FD0ECD"/>
    <w:rsid w:val="00FE09F7"/>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C4137"/>
    <w:pPr>
      <w:suppressAutoHyphens/>
      <w:spacing w:after="200" w:line="276" w:lineRule="auto"/>
    </w:pPr>
    <w:rPr>
      <w:rFonts w:ascii="Times New Roman" w:hAnsi="Times New Roman" w:cs="Calibri"/>
      <w:sz w:val="22"/>
      <w:szCs w:val="22"/>
      <w:lang w:eastAsia="ar-SA"/>
    </w:rPr>
  </w:style>
  <w:style w:type="paragraph" w:styleId="Nagwek1">
    <w:name w:val="heading 1"/>
    <w:basedOn w:val="Normalny"/>
    <w:next w:val="Normalny"/>
    <w:link w:val="Nagwek1Znak"/>
    <w:uiPriority w:val="9"/>
    <w:rsid w:val="002B5C0E"/>
    <w:pPr>
      <w:outlineLvl w:val="0"/>
    </w:pPr>
    <w:rPr>
      <w:rFonts w:cs="Times New Roman"/>
    </w:rPr>
  </w:style>
  <w:style w:type="paragraph" w:styleId="Nagwek2">
    <w:name w:val="heading 2"/>
    <w:basedOn w:val="Normalny"/>
    <w:next w:val="Normalny"/>
    <w:link w:val="Nagwek2Znak"/>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Nagwek3">
    <w:name w:val="heading 3"/>
    <w:basedOn w:val="Normalny"/>
    <w:next w:val="Normalny"/>
    <w:link w:val="Nagwek3Znak"/>
    <w:uiPriority w:val="9"/>
    <w:semiHidden/>
    <w:unhideWhenUsed/>
    <w:rsid w:val="002B5C0E"/>
    <w:pPr>
      <w:keepNext/>
      <w:keepLines/>
      <w:spacing w:before="200" w:after="0"/>
      <w:outlineLvl w:val="2"/>
    </w:pPr>
    <w:rPr>
      <w:rFonts w:eastAsia="Times New Roman"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B5C0E"/>
    <w:rPr>
      <w:rFonts w:ascii="Times New Roman" w:hAnsi="Times New Roman"/>
      <w:sz w:val="22"/>
      <w:szCs w:val="22"/>
      <w:lang w:eastAsia="ar-SA"/>
    </w:rPr>
  </w:style>
  <w:style w:type="paragraph" w:customStyle="1" w:styleId="Authors">
    <w:name w:val="Authors"/>
    <w:basedOn w:val="Normalny"/>
    <w:rsid w:val="00042206"/>
    <w:pPr>
      <w:spacing w:before="240" w:after="240"/>
      <w:jc w:val="center"/>
    </w:pPr>
    <w:rPr>
      <w:rFonts w:cs="Times New Roman"/>
      <w:sz w:val="18"/>
    </w:rPr>
  </w:style>
  <w:style w:type="paragraph" w:customStyle="1" w:styleId="Affiliation">
    <w:name w:val="Affiliation"/>
    <w:basedOn w:val="Normalny"/>
    <w:rsid w:val="00042206"/>
    <w:pPr>
      <w:spacing w:after="0" w:line="240" w:lineRule="auto"/>
      <w:jc w:val="center"/>
    </w:pPr>
    <w:rPr>
      <w:sz w:val="16"/>
      <w:szCs w:val="20"/>
      <w:lang w:val="en-GB"/>
    </w:rPr>
  </w:style>
  <w:style w:type="paragraph" w:customStyle="1" w:styleId="E-mails">
    <w:name w:val="E-mails"/>
    <w:basedOn w:val="Normalny"/>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ny"/>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ny"/>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ny"/>
    <w:rsid w:val="00D9416C"/>
    <w:pPr>
      <w:numPr>
        <w:numId w:val="7"/>
      </w:numPr>
      <w:spacing w:before="120" w:after="0" w:line="240" w:lineRule="auto"/>
      <w:ind w:left="510" w:hanging="170"/>
      <w:contextualSpacing/>
    </w:pPr>
    <w:rPr>
      <w:sz w:val="18"/>
    </w:rPr>
  </w:style>
  <w:style w:type="paragraph" w:customStyle="1" w:styleId="Legenda1">
    <w:name w:val="Legenda1"/>
    <w:basedOn w:val="Normalny"/>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ny"/>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ny"/>
    <w:rsid w:val="00BC10E2"/>
    <w:pPr>
      <w:spacing w:before="360"/>
      <w:jc w:val="both"/>
    </w:pPr>
    <w:rPr>
      <w:rFonts w:cs="Times New Roman"/>
      <w:sz w:val="18"/>
      <w:szCs w:val="18"/>
      <w:lang w:val="en-US"/>
    </w:rPr>
  </w:style>
  <w:style w:type="paragraph" w:customStyle="1" w:styleId="Table">
    <w:name w:val="Table"/>
    <w:basedOn w:val="Normalny"/>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Tekstdymka">
    <w:name w:val="Balloon Text"/>
    <w:basedOn w:val="Normalny"/>
    <w:link w:val="TekstdymkaZnak"/>
    <w:uiPriority w:val="99"/>
    <w:semiHidden/>
    <w:unhideWhenUsed/>
    <w:rsid w:val="0037492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374922"/>
    <w:rPr>
      <w:rFonts w:ascii="Tahoma" w:hAnsi="Tahoma" w:cs="Tahoma"/>
      <w:sz w:val="16"/>
      <w:szCs w:val="16"/>
      <w:lang w:eastAsia="ar-SA"/>
    </w:rPr>
  </w:style>
  <w:style w:type="table" w:styleId="Tabela-Siatka">
    <w:name w:val="Table Grid"/>
    <w:basedOn w:val="Standardowy"/>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2B5C0E"/>
    <w:rPr>
      <w:rFonts w:ascii="Times New Roman" w:eastAsia="Times New Roman" w:hAnsi="Times New Roman" w:cs="Times New Roman"/>
      <w:b/>
      <w:bCs/>
      <w:color w:val="4F81BD"/>
      <w:sz w:val="26"/>
      <w:szCs w:val="26"/>
      <w:lang w:eastAsia="ar-SA"/>
    </w:rPr>
  </w:style>
  <w:style w:type="character" w:customStyle="1" w:styleId="Nagwek3Znak">
    <w:name w:val="Nagłówek 3 Znak"/>
    <w:link w:val="Nagwek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ny"/>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ny"/>
    <w:next w:val="Paragraph"/>
    <w:rsid w:val="00516EAB"/>
    <w:pPr>
      <w:spacing w:after="0" w:line="240" w:lineRule="auto"/>
      <w:jc w:val="both"/>
    </w:pPr>
    <w:rPr>
      <w:sz w:val="16"/>
    </w:rPr>
  </w:style>
  <w:style w:type="paragraph" w:customStyle="1" w:styleId="Titlebold">
    <w:name w:val="Title_bold"/>
    <w:basedOn w:val="Normalny"/>
    <w:rsid w:val="00042206"/>
    <w:pPr>
      <w:spacing w:after="0" w:line="240" w:lineRule="auto"/>
      <w:jc w:val="center"/>
    </w:pPr>
    <w:rPr>
      <w:b/>
      <w:sz w:val="24"/>
      <w:lang w:val="en-US"/>
    </w:rPr>
  </w:style>
  <w:style w:type="paragraph" w:customStyle="1" w:styleId="HTML">
    <w:name w:val="HTML"/>
    <w:basedOn w:val="Normalny"/>
    <w:next w:val="Paragraph"/>
    <w:link w:val="HTMLZnak"/>
    <w:rsid w:val="00A177B2"/>
    <w:rPr>
      <w:rFonts w:ascii="Courier New" w:hAnsi="Courier New"/>
      <w:sz w:val="16"/>
    </w:rPr>
  </w:style>
  <w:style w:type="paragraph" w:styleId="NormalnyWeb">
    <w:name w:val="Normal (Web)"/>
    <w:basedOn w:val="Normalny"/>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ny"/>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Akapitzlist">
    <w:name w:val="List Paragraph"/>
    <w:basedOn w:val="Normalny"/>
    <w:uiPriority w:val="34"/>
    <w:qFormat/>
    <w:rsid w:val="00C60CA8"/>
    <w:pPr>
      <w:ind w:left="720"/>
      <w:contextualSpacing/>
    </w:pPr>
  </w:style>
  <w:style w:type="character" w:styleId="Hipercze">
    <w:name w:val="Hyperlink"/>
    <w:basedOn w:val="Domylnaczcionkaakapitu"/>
    <w:unhideWhenUsed/>
    <w:rsid w:val="00615936"/>
    <w:rPr>
      <w:color w:val="0563C1" w:themeColor="hyperlink"/>
      <w:u w:val="single"/>
    </w:rPr>
  </w:style>
  <w:style w:type="character" w:styleId="Nierozpoznanawzmianka">
    <w:name w:val="Unresolved Mention"/>
    <w:basedOn w:val="Domylnaczcionkaakapitu"/>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940</Words>
  <Characters>5642</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ACK CYFRONET AGH</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Dominika Ciupek</cp:lastModifiedBy>
  <cp:revision>9</cp:revision>
  <cp:lastPrinted>2014-02-10T17:17:00Z</cp:lastPrinted>
  <dcterms:created xsi:type="dcterms:W3CDTF">2025-08-21T08:34:00Z</dcterms:created>
  <dcterms:modified xsi:type="dcterms:W3CDTF">2025-08-21T10:20:00Z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