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CCD29D" w:rsidR="00C20816" w:rsidRDefault="00000000">
      <w:pPr>
        <w:pBdr>
          <w:top w:val="nil"/>
          <w:left w:val="nil"/>
          <w:bottom w:val="nil"/>
          <w:right w:val="nil"/>
          <w:between w:val="nil"/>
        </w:pBdr>
        <w:spacing w:before="240" w:after="240"/>
        <w:jc w:val="center"/>
        <w:rPr>
          <w:b/>
          <w:color w:val="000000"/>
          <w:sz w:val="24"/>
          <w:szCs w:val="24"/>
        </w:rPr>
      </w:pPr>
      <w:r>
        <w:rPr>
          <w:b/>
          <w:color w:val="000000"/>
          <w:sz w:val="24"/>
          <w:szCs w:val="24"/>
        </w:rPr>
        <w:t>Augmenting not replacing: preparing the future health workforce for the digital tools revolution in clinical reasoning</w:t>
      </w:r>
    </w:p>
    <w:p w14:paraId="00000002" w14:textId="77777777" w:rsidR="00C20816" w:rsidRPr="00010205" w:rsidRDefault="00000000">
      <w:pPr>
        <w:pBdr>
          <w:top w:val="nil"/>
          <w:left w:val="nil"/>
          <w:bottom w:val="nil"/>
          <w:right w:val="nil"/>
          <w:between w:val="nil"/>
        </w:pBdr>
        <w:spacing w:before="240" w:after="240"/>
        <w:jc w:val="center"/>
        <w:rPr>
          <w:color w:val="000000"/>
          <w:sz w:val="18"/>
          <w:szCs w:val="18"/>
          <w:lang w:val="pl-PL"/>
        </w:rPr>
      </w:pPr>
      <w:r w:rsidRPr="00010205">
        <w:rPr>
          <w:color w:val="000000"/>
          <w:sz w:val="18"/>
          <w:szCs w:val="18"/>
          <w:lang w:val="pl-PL"/>
        </w:rPr>
        <w:t>Andrzej A. Kononowicz</w:t>
      </w:r>
      <w:r w:rsidRPr="00010205">
        <w:rPr>
          <w:color w:val="000000"/>
          <w:sz w:val="18"/>
          <w:szCs w:val="18"/>
          <w:vertAlign w:val="superscript"/>
          <w:lang w:val="pl-PL"/>
        </w:rPr>
        <w:t>1</w:t>
      </w:r>
      <w:r w:rsidRPr="00010205">
        <w:rPr>
          <w:sz w:val="18"/>
          <w:szCs w:val="18"/>
          <w:vertAlign w:val="superscript"/>
          <w:lang w:val="pl-PL"/>
        </w:rPr>
        <w:t>*</w:t>
      </w:r>
      <w:r w:rsidRPr="00010205">
        <w:rPr>
          <w:color w:val="000000"/>
          <w:sz w:val="18"/>
          <w:szCs w:val="18"/>
          <w:lang w:val="pl-PL"/>
        </w:rPr>
        <w:t>, Joanna Fąferek</w:t>
      </w:r>
      <w:r w:rsidRPr="00010205">
        <w:rPr>
          <w:color w:val="000000"/>
          <w:sz w:val="18"/>
          <w:szCs w:val="18"/>
          <w:vertAlign w:val="superscript"/>
          <w:lang w:val="pl-PL"/>
        </w:rPr>
        <w:t>2</w:t>
      </w:r>
      <w:r w:rsidRPr="00010205">
        <w:rPr>
          <w:color w:val="000000"/>
          <w:sz w:val="18"/>
          <w:szCs w:val="18"/>
          <w:lang w:val="pl-PL"/>
        </w:rPr>
        <w:t>, Ada Frankowska</w:t>
      </w:r>
      <w:r w:rsidRPr="00010205">
        <w:rPr>
          <w:color w:val="000000"/>
          <w:sz w:val="18"/>
          <w:szCs w:val="18"/>
          <w:vertAlign w:val="superscript"/>
          <w:lang w:val="pl-PL"/>
        </w:rPr>
        <w:t>1</w:t>
      </w:r>
      <w:r w:rsidRPr="00010205">
        <w:rPr>
          <w:color w:val="000000"/>
          <w:sz w:val="18"/>
          <w:szCs w:val="18"/>
          <w:lang w:val="pl-PL"/>
        </w:rPr>
        <w:t xml:space="preserve">, </w:t>
      </w:r>
      <w:r w:rsidRPr="00010205">
        <w:rPr>
          <w:color w:val="000000"/>
          <w:sz w:val="18"/>
          <w:szCs w:val="18"/>
          <w:lang w:val="pl-PL"/>
        </w:rPr>
        <w:br/>
        <w:t>Anna Kocurek</w:t>
      </w:r>
      <w:r w:rsidRPr="00010205">
        <w:rPr>
          <w:color w:val="000000"/>
          <w:sz w:val="18"/>
          <w:szCs w:val="18"/>
          <w:vertAlign w:val="superscript"/>
          <w:lang w:val="pl-PL"/>
        </w:rPr>
        <w:t>2</w:t>
      </w:r>
      <w:r w:rsidRPr="00010205">
        <w:rPr>
          <w:color w:val="000000"/>
          <w:sz w:val="18"/>
          <w:szCs w:val="18"/>
          <w:lang w:val="pl-PL"/>
        </w:rPr>
        <w:t>, Małgorzata Sudacka</w:t>
      </w:r>
      <w:r w:rsidRPr="00010205">
        <w:rPr>
          <w:color w:val="000000"/>
          <w:sz w:val="18"/>
          <w:szCs w:val="18"/>
          <w:vertAlign w:val="superscript"/>
          <w:lang w:val="pl-PL"/>
        </w:rPr>
        <w:t>2</w:t>
      </w:r>
      <w:r w:rsidRPr="00010205">
        <w:rPr>
          <w:color w:val="000000"/>
          <w:sz w:val="18"/>
          <w:szCs w:val="18"/>
          <w:lang w:val="pl-PL"/>
        </w:rPr>
        <w:t>, Renata Szydlak</w:t>
      </w:r>
      <w:r w:rsidRPr="00010205">
        <w:rPr>
          <w:color w:val="000000"/>
          <w:sz w:val="18"/>
          <w:szCs w:val="18"/>
          <w:vertAlign w:val="superscript"/>
          <w:lang w:val="pl-PL"/>
        </w:rPr>
        <w:t>1</w:t>
      </w:r>
    </w:p>
    <w:p w14:paraId="00000003" w14:textId="77777777" w:rsidR="00C20816" w:rsidRPr="00010205" w:rsidRDefault="00000000">
      <w:pPr>
        <w:pBdr>
          <w:top w:val="nil"/>
          <w:left w:val="nil"/>
          <w:bottom w:val="nil"/>
          <w:right w:val="nil"/>
          <w:between w:val="nil"/>
        </w:pBdr>
        <w:spacing w:after="0" w:line="240" w:lineRule="auto"/>
        <w:jc w:val="center"/>
        <w:rPr>
          <w:i/>
          <w:color w:val="000000"/>
          <w:sz w:val="16"/>
          <w:szCs w:val="16"/>
          <w:lang w:val="pl-PL"/>
        </w:rPr>
      </w:pPr>
      <w:r w:rsidRPr="00010205">
        <w:rPr>
          <w:color w:val="000000"/>
          <w:sz w:val="16"/>
          <w:szCs w:val="16"/>
          <w:vertAlign w:val="superscript"/>
          <w:lang w:val="pl-PL"/>
        </w:rPr>
        <w:t>1</w:t>
      </w:r>
      <w:r w:rsidRPr="00010205">
        <w:rPr>
          <w:color w:val="000000"/>
          <w:sz w:val="16"/>
          <w:szCs w:val="16"/>
          <w:lang w:val="pl-PL"/>
        </w:rPr>
        <w:t xml:space="preserve">Department of Bioinformatics and Telemedicine, Jagiellonian University Medical College, </w:t>
      </w:r>
      <w:r w:rsidRPr="00010205">
        <w:rPr>
          <w:color w:val="000000"/>
          <w:sz w:val="16"/>
          <w:szCs w:val="16"/>
          <w:lang w:val="pl-PL"/>
        </w:rPr>
        <w:br/>
        <w:t>Medyczna 7, 30-688 Kraków, Poland</w:t>
      </w:r>
      <w:r w:rsidRPr="00010205">
        <w:rPr>
          <w:color w:val="000000"/>
          <w:sz w:val="16"/>
          <w:szCs w:val="16"/>
          <w:lang w:val="pl-PL"/>
        </w:rPr>
        <w:br/>
      </w:r>
      <w:r w:rsidRPr="00010205">
        <w:rPr>
          <w:color w:val="000000"/>
          <w:sz w:val="16"/>
          <w:szCs w:val="16"/>
          <w:vertAlign w:val="superscript"/>
          <w:lang w:val="pl-PL"/>
        </w:rPr>
        <w:t>2</w:t>
      </w:r>
      <w:r w:rsidRPr="00010205">
        <w:rPr>
          <w:color w:val="000000"/>
          <w:sz w:val="16"/>
          <w:szCs w:val="16"/>
          <w:lang w:val="pl-PL"/>
        </w:rPr>
        <w:t xml:space="preserve">Center for Innovative Medical Education, Jagiellonian University Medical College, </w:t>
      </w:r>
      <w:r w:rsidRPr="00010205">
        <w:rPr>
          <w:color w:val="000000"/>
          <w:sz w:val="16"/>
          <w:szCs w:val="16"/>
          <w:lang w:val="pl-PL"/>
        </w:rPr>
        <w:br/>
        <w:t>Medyczna 7, 30-688 Kraków, Poland</w:t>
      </w:r>
      <w:r w:rsidRPr="00010205">
        <w:rPr>
          <w:color w:val="000000"/>
          <w:sz w:val="16"/>
          <w:szCs w:val="16"/>
          <w:lang w:val="pl-PL"/>
        </w:rPr>
        <w:br/>
        <w:t>{</w:t>
      </w:r>
      <w:r w:rsidRPr="00010205">
        <w:rPr>
          <w:i/>
          <w:color w:val="000000"/>
          <w:sz w:val="16"/>
          <w:szCs w:val="16"/>
          <w:lang w:val="pl-PL"/>
        </w:rPr>
        <w:t>andrzej.kononowicz, joanna.faferek, ada.frankowska, anna.kocurek, malgorzata.sudacka, renata.szydlak</w:t>
      </w:r>
      <w:r w:rsidRPr="00010205">
        <w:rPr>
          <w:color w:val="000000"/>
          <w:sz w:val="16"/>
          <w:szCs w:val="16"/>
          <w:lang w:val="pl-PL"/>
        </w:rPr>
        <w:t>}@</w:t>
      </w:r>
      <w:r w:rsidRPr="00010205">
        <w:rPr>
          <w:i/>
          <w:color w:val="000000"/>
          <w:sz w:val="16"/>
          <w:szCs w:val="16"/>
          <w:lang w:val="pl-PL"/>
        </w:rPr>
        <w:t xml:space="preserve">uj.edu.pl </w:t>
      </w:r>
    </w:p>
    <w:p w14:paraId="00000004" w14:textId="77777777" w:rsidR="00C20816" w:rsidRDefault="00000000">
      <w:pPr>
        <w:pBdr>
          <w:top w:val="nil"/>
          <w:left w:val="nil"/>
          <w:bottom w:val="nil"/>
          <w:right w:val="nil"/>
          <w:between w:val="nil"/>
        </w:pBdr>
        <w:spacing w:after="0" w:line="240" w:lineRule="auto"/>
        <w:rPr>
          <w:color w:val="000000"/>
          <w:sz w:val="16"/>
          <w:szCs w:val="16"/>
        </w:rPr>
      </w:pPr>
      <w:r w:rsidRPr="00282630">
        <w:rPr>
          <w:i/>
          <w:color w:val="000000"/>
          <w:sz w:val="16"/>
          <w:szCs w:val="16"/>
          <w:lang w:val="en-GB"/>
        </w:rPr>
        <w:br/>
      </w:r>
      <w:r>
        <w:rPr>
          <w:color w:val="000000"/>
          <w:sz w:val="16"/>
          <w:szCs w:val="16"/>
        </w:rPr>
        <w:t>*) on behalf of the D-CREDO project consortium</w:t>
      </w:r>
    </w:p>
    <w:p w14:paraId="00000005" w14:textId="77777777" w:rsidR="00C20816" w:rsidRDefault="00000000">
      <w:pPr>
        <w:pBdr>
          <w:top w:val="nil"/>
          <w:left w:val="nil"/>
          <w:bottom w:val="nil"/>
          <w:right w:val="nil"/>
          <w:between w:val="nil"/>
        </w:pBdr>
        <w:spacing w:after="0" w:line="240" w:lineRule="auto"/>
        <w:rPr>
          <w:color w:val="000000"/>
          <w:sz w:val="16"/>
          <w:szCs w:val="16"/>
        </w:rPr>
      </w:pPr>
      <w:r>
        <w:rPr>
          <w:i/>
          <w:color w:val="000000"/>
          <w:sz w:val="16"/>
          <w:szCs w:val="16"/>
        </w:rPr>
        <w:br/>
      </w:r>
      <w:r>
        <w:rPr>
          <w:b/>
          <w:color w:val="000000"/>
          <w:sz w:val="16"/>
          <w:szCs w:val="16"/>
        </w:rPr>
        <w:t>Keywords</w:t>
      </w:r>
      <w:r>
        <w:rPr>
          <w:color w:val="000000"/>
          <w:sz w:val="16"/>
          <w:szCs w:val="16"/>
        </w:rPr>
        <w:t>: clinical reasoning, digital health tools, clinical decision support systems, virtual patients</w:t>
      </w:r>
    </w:p>
    <w:p w14:paraId="00000006" w14:textId="77777777" w:rsidR="00C20816" w:rsidRDefault="00000000">
      <w:pPr>
        <w:numPr>
          <w:ilvl w:val="0"/>
          <w:numId w:val="1"/>
        </w:numPr>
        <w:pBdr>
          <w:top w:val="nil"/>
          <w:left w:val="nil"/>
          <w:bottom w:val="nil"/>
          <w:right w:val="nil"/>
          <w:between w:val="nil"/>
        </w:pBdr>
        <w:spacing w:before="240" w:after="120" w:line="240" w:lineRule="auto"/>
        <w:ind w:left="227" w:hanging="227"/>
      </w:pPr>
      <w:r>
        <w:rPr>
          <w:b/>
          <w:color w:val="000000"/>
        </w:rPr>
        <w:t xml:space="preserve">Introduction </w:t>
      </w:r>
    </w:p>
    <w:p w14:paraId="00000007" w14:textId="2D1A8ED3" w:rsidR="00C20816" w:rsidRDefault="00000000">
      <w:pPr>
        <w:pBdr>
          <w:top w:val="nil"/>
          <w:left w:val="nil"/>
          <w:bottom w:val="nil"/>
          <w:right w:val="nil"/>
          <w:between w:val="nil"/>
        </w:pBdr>
        <w:spacing w:after="0" w:line="240" w:lineRule="auto"/>
        <w:jc w:val="both"/>
        <w:rPr>
          <w:color w:val="000000"/>
          <w:sz w:val="18"/>
          <w:szCs w:val="18"/>
        </w:rPr>
      </w:pPr>
      <w:r>
        <w:rPr>
          <w:color w:val="000000"/>
          <w:sz w:val="18"/>
          <w:szCs w:val="18"/>
        </w:rPr>
        <w:t xml:space="preserve">Clinical reasoning (CR) is the cognitive </w:t>
      </w:r>
      <w:r>
        <w:rPr>
          <w:sz w:val="18"/>
          <w:szCs w:val="18"/>
        </w:rPr>
        <w:t xml:space="preserve">skill health professionals </w:t>
      </w:r>
      <w:r>
        <w:rPr>
          <w:color w:val="000000"/>
          <w:sz w:val="18"/>
          <w:szCs w:val="18"/>
        </w:rPr>
        <w:t>use in practice to observe, collect, and analyze information in order to diagnose and manage patients</w:t>
      </w:r>
      <w:r w:rsidR="006412CA">
        <w:rPr>
          <w:color w:val="000000"/>
          <w:sz w:val="18"/>
          <w:szCs w:val="18"/>
        </w:rPr>
        <w:t>, taking into account</w:t>
      </w:r>
      <w:r>
        <w:rPr>
          <w:color w:val="000000"/>
          <w:sz w:val="18"/>
          <w:szCs w:val="18"/>
        </w:rPr>
        <w:t xml:space="preserve"> their specific circumstances and preferences [1]. </w:t>
      </w:r>
      <w:r w:rsidR="00713E93">
        <w:rPr>
          <w:color w:val="000000"/>
          <w:sz w:val="18"/>
          <w:szCs w:val="18"/>
        </w:rPr>
        <w:t xml:space="preserve">Poor </w:t>
      </w:r>
      <w:r w:rsidR="006412CA">
        <w:rPr>
          <w:color w:val="000000"/>
          <w:sz w:val="18"/>
          <w:szCs w:val="18"/>
        </w:rPr>
        <w:t xml:space="preserve">CR </w:t>
      </w:r>
      <w:r w:rsidR="00713E93">
        <w:rPr>
          <w:color w:val="000000"/>
          <w:sz w:val="18"/>
          <w:szCs w:val="18"/>
        </w:rPr>
        <w:t>p</w:t>
      </w:r>
      <w:r>
        <w:rPr>
          <w:color w:val="000000"/>
          <w:sz w:val="18"/>
          <w:szCs w:val="18"/>
        </w:rPr>
        <w:t xml:space="preserve">erformance directly </w:t>
      </w:r>
      <w:r w:rsidR="006412CA">
        <w:rPr>
          <w:color w:val="000000"/>
          <w:sz w:val="18"/>
          <w:szCs w:val="18"/>
        </w:rPr>
        <w:t>contributes</w:t>
      </w:r>
      <w:r>
        <w:rPr>
          <w:color w:val="000000"/>
          <w:sz w:val="18"/>
          <w:szCs w:val="18"/>
        </w:rPr>
        <w:t xml:space="preserve"> </w:t>
      </w:r>
      <w:r w:rsidR="006412CA">
        <w:rPr>
          <w:color w:val="000000"/>
          <w:sz w:val="18"/>
          <w:szCs w:val="18"/>
        </w:rPr>
        <w:t xml:space="preserve">to </w:t>
      </w:r>
      <w:r>
        <w:rPr>
          <w:color w:val="000000"/>
          <w:sz w:val="18"/>
          <w:szCs w:val="18"/>
        </w:rPr>
        <w:t xml:space="preserve">medical errors and </w:t>
      </w:r>
      <w:r w:rsidR="006412CA">
        <w:rPr>
          <w:color w:val="000000"/>
          <w:sz w:val="18"/>
          <w:szCs w:val="18"/>
        </w:rPr>
        <w:t xml:space="preserve">must continually be </w:t>
      </w:r>
      <w:r>
        <w:rPr>
          <w:color w:val="000000"/>
          <w:sz w:val="18"/>
          <w:szCs w:val="18"/>
        </w:rPr>
        <w:t>improve</w:t>
      </w:r>
      <w:r w:rsidR="006412CA">
        <w:rPr>
          <w:color w:val="000000"/>
          <w:sz w:val="18"/>
          <w:szCs w:val="18"/>
        </w:rPr>
        <w:t>d</w:t>
      </w:r>
      <w:r>
        <w:rPr>
          <w:color w:val="000000"/>
          <w:sz w:val="18"/>
          <w:szCs w:val="18"/>
        </w:rPr>
        <w:t xml:space="preserve"> </w:t>
      </w:r>
      <w:r w:rsidR="006412CA">
        <w:rPr>
          <w:color w:val="000000"/>
          <w:sz w:val="18"/>
          <w:szCs w:val="18"/>
        </w:rPr>
        <w:t>to ensure a</w:t>
      </w:r>
      <w:r>
        <w:rPr>
          <w:color w:val="000000"/>
          <w:sz w:val="18"/>
          <w:szCs w:val="18"/>
        </w:rPr>
        <w:t xml:space="preserve"> safe and efficient healthcare system. A wide range of digital tools </w:t>
      </w:r>
      <w:r w:rsidR="006412CA">
        <w:rPr>
          <w:color w:val="000000"/>
          <w:sz w:val="18"/>
          <w:szCs w:val="18"/>
        </w:rPr>
        <w:t>are</w:t>
      </w:r>
      <w:r>
        <w:rPr>
          <w:color w:val="000000"/>
          <w:sz w:val="18"/>
          <w:szCs w:val="18"/>
        </w:rPr>
        <w:t xml:space="preserve"> currently available to </w:t>
      </w:r>
      <w:r w:rsidR="006412CA">
        <w:rPr>
          <w:color w:val="000000"/>
          <w:sz w:val="18"/>
          <w:szCs w:val="18"/>
        </w:rPr>
        <w:t xml:space="preserve">enhance </w:t>
      </w:r>
      <w:r>
        <w:rPr>
          <w:color w:val="000000"/>
          <w:sz w:val="18"/>
          <w:szCs w:val="18"/>
        </w:rPr>
        <w:t>CR in practice.</w:t>
      </w:r>
    </w:p>
    <w:p w14:paraId="00000008" w14:textId="77777777" w:rsidR="00C20816" w:rsidRDefault="00000000">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 xml:space="preserve">Description of the problem </w:t>
      </w:r>
    </w:p>
    <w:p w14:paraId="00000009" w14:textId="1A956897" w:rsidR="00C20816" w:rsidRDefault="00000000">
      <w:pPr>
        <w:pBdr>
          <w:top w:val="nil"/>
          <w:left w:val="nil"/>
          <w:bottom w:val="nil"/>
          <w:right w:val="nil"/>
          <w:between w:val="nil"/>
        </w:pBdr>
        <w:spacing w:after="0" w:line="240" w:lineRule="auto"/>
        <w:jc w:val="both"/>
        <w:rPr>
          <w:color w:val="000000"/>
          <w:sz w:val="18"/>
          <w:szCs w:val="18"/>
        </w:rPr>
      </w:pPr>
      <w:r>
        <w:rPr>
          <w:color w:val="000000"/>
          <w:sz w:val="18"/>
          <w:szCs w:val="18"/>
        </w:rPr>
        <w:t>Despite the excellent performance of many digital tools in simulated</w:t>
      </w:r>
      <w:r w:rsidR="00A74C3B">
        <w:rPr>
          <w:color w:val="000000"/>
          <w:sz w:val="18"/>
          <w:szCs w:val="18"/>
        </w:rPr>
        <w:t>,</w:t>
      </w:r>
      <w:r>
        <w:rPr>
          <w:color w:val="000000"/>
          <w:sz w:val="18"/>
          <w:szCs w:val="18"/>
        </w:rPr>
        <w:t xml:space="preserve"> individual CR tasks, their integration in clinical practice faces significant challenges. </w:t>
      </w:r>
      <w:r w:rsidR="00A74C3B">
        <w:rPr>
          <w:color w:val="000000"/>
          <w:sz w:val="18"/>
          <w:szCs w:val="18"/>
        </w:rPr>
        <w:t>For instance, i</w:t>
      </w:r>
      <w:r>
        <w:rPr>
          <w:color w:val="000000"/>
          <w:sz w:val="18"/>
          <w:szCs w:val="18"/>
        </w:rPr>
        <w:t xml:space="preserve">t has been observed that human-machine collaboration does not necessarily </w:t>
      </w:r>
      <w:r w:rsidR="00A74C3B">
        <w:rPr>
          <w:color w:val="000000"/>
          <w:sz w:val="18"/>
          <w:szCs w:val="18"/>
        </w:rPr>
        <w:t xml:space="preserve">lead to </w:t>
      </w:r>
      <w:r>
        <w:rPr>
          <w:color w:val="000000"/>
          <w:sz w:val="18"/>
          <w:szCs w:val="18"/>
        </w:rPr>
        <w:t>improvements in practice and</w:t>
      </w:r>
      <w:r w:rsidR="00A74C3B">
        <w:rPr>
          <w:color w:val="000000"/>
          <w:sz w:val="18"/>
          <w:szCs w:val="18"/>
        </w:rPr>
        <w:t xml:space="preserve">, in </w:t>
      </w:r>
      <w:r>
        <w:rPr>
          <w:color w:val="000000"/>
          <w:sz w:val="18"/>
          <w:szCs w:val="18"/>
        </w:rPr>
        <w:t xml:space="preserve"> some</w:t>
      </w:r>
      <w:r w:rsidR="00A74C3B">
        <w:rPr>
          <w:color w:val="000000"/>
          <w:sz w:val="18"/>
          <w:szCs w:val="18"/>
        </w:rPr>
        <w:t xml:space="preserve"> cases,</w:t>
      </w:r>
      <w:r>
        <w:rPr>
          <w:color w:val="000000"/>
          <w:sz w:val="18"/>
          <w:szCs w:val="18"/>
        </w:rPr>
        <w:t xml:space="preserve"> </w:t>
      </w:r>
      <w:r w:rsidR="00190CC0">
        <w:rPr>
          <w:color w:val="000000"/>
          <w:sz w:val="18"/>
          <w:szCs w:val="18"/>
        </w:rPr>
        <w:t>artificial intelligence</w:t>
      </w:r>
      <w:r>
        <w:rPr>
          <w:color w:val="000000"/>
          <w:sz w:val="18"/>
          <w:szCs w:val="18"/>
        </w:rPr>
        <w:t xml:space="preserve"> </w:t>
      </w:r>
      <w:r w:rsidR="00A74C3B">
        <w:rPr>
          <w:color w:val="000000"/>
          <w:sz w:val="18"/>
          <w:szCs w:val="18"/>
        </w:rPr>
        <w:t xml:space="preserve">(AI) </w:t>
      </w:r>
      <w:r>
        <w:rPr>
          <w:color w:val="000000"/>
          <w:sz w:val="18"/>
          <w:szCs w:val="18"/>
        </w:rPr>
        <w:t xml:space="preserve">alone performs better than </w:t>
      </w:r>
      <w:r w:rsidR="00A74C3B">
        <w:rPr>
          <w:color w:val="000000"/>
          <w:sz w:val="18"/>
          <w:szCs w:val="18"/>
        </w:rPr>
        <w:t xml:space="preserve">when used in </w:t>
      </w:r>
      <w:r>
        <w:rPr>
          <w:color w:val="000000"/>
          <w:sz w:val="18"/>
          <w:szCs w:val="18"/>
        </w:rPr>
        <w:t xml:space="preserve">collaboration with humans [2]. One explanation </w:t>
      </w:r>
      <w:r>
        <w:rPr>
          <w:sz w:val="18"/>
          <w:szCs w:val="18"/>
        </w:rPr>
        <w:t>is</w:t>
      </w:r>
      <w:r>
        <w:rPr>
          <w:color w:val="000000"/>
          <w:sz w:val="18"/>
          <w:szCs w:val="18"/>
        </w:rPr>
        <w:t xml:space="preserve"> the limited </w:t>
      </w:r>
      <w:r w:rsidR="00A74C3B">
        <w:rPr>
          <w:color w:val="000000"/>
          <w:sz w:val="18"/>
          <w:szCs w:val="18"/>
        </w:rPr>
        <w:t xml:space="preserve">proficiency </w:t>
      </w:r>
      <w:r>
        <w:rPr>
          <w:color w:val="000000"/>
          <w:sz w:val="18"/>
          <w:szCs w:val="18"/>
        </w:rPr>
        <w:t xml:space="preserve">in using the technology. </w:t>
      </w:r>
      <w:r w:rsidR="00A74C3B">
        <w:rPr>
          <w:color w:val="000000"/>
          <w:sz w:val="18"/>
          <w:szCs w:val="18"/>
        </w:rPr>
        <w:t>Consequently, m</w:t>
      </w:r>
      <w:r>
        <w:rPr>
          <w:color w:val="000000"/>
          <w:sz w:val="18"/>
          <w:szCs w:val="18"/>
        </w:rPr>
        <w:t xml:space="preserve">ethods are being sought to redesign medical education in order to prepare future health professionals </w:t>
      </w:r>
      <w:r w:rsidR="00A74C3B">
        <w:rPr>
          <w:color w:val="000000"/>
          <w:sz w:val="18"/>
          <w:szCs w:val="18"/>
        </w:rPr>
        <w:t xml:space="preserve">to </w:t>
      </w:r>
      <w:r>
        <w:rPr>
          <w:color w:val="000000"/>
          <w:sz w:val="18"/>
          <w:szCs w:val="18"/>
        </w:rPr>
        <w:t xml:space="preserve">use emerging technologies </w:t>
      </w:r>
      <w:r w:rsidR="00A74C3B">
        <w:rPr>
          <w:color w:val="000000"/>
          <w:sz w:val="18"/>
          <w:szCs w:val="18"/>
        </w:rPr>
        <w:t xml:space="preserve">efficiently </w:t>
      </w:r>
      <w:r>
        <w:rPr>
          <w:color w:val="000000"/>
          <w:sz w:val="18"/>
          <w:szCs w:val="18"/>
        </w:rPr>
        <w:t>as synergistic partners in CR.</w:t>
      </w:r>
    </w:p>
    <w:p w14:paraId="0000000A" w14:textId="77777777" w:rsidR="00C20816" w:rsidRDefault="00000000">
      <w:pPr>
        <w:numPr>
          <w:ilvl w:val="0"/>
          <w:numId w:val="1"/>
        </w:numPr>
        <w:pBdr>
          <w:top w:val="nil"/>
          <w:left w:val="nil"/>
          <w:bottom w:val="nil"/>
          <w:right w:val="nil"/>
          <w:between w:val="nil"/>
        </w:pBdr>
        <w:spacing w:before="240" w:after="120" w:line="240" w:lineRule="auto"/>
        <w:ind w:left="227" w:hanging="227"/>
      </w:pPr>
      <w:r>
        <w:rPr>
          <w:b/>
          <w:color w:val="000000"/>
        </w:rPr>
        <w:t xml:space="preserve">Related work </w:t>
      </w:r>
    </w:p>
    <w:p w14:paraId="0000000B" w14:textId="4EC47126" w:rsidR="00C20816" w:rsidRDefault="00000000">
      <w:pPr>
        <w:pBdr>
          <w:top w:val="nil"/>
          <w:left w:val="nil"/>
          <w:bottom w:val="nil"/>
          <w:right w:val="nil"/>
          <w:between w:val="nil"/>
        </w:pBdr>
        <w:spacing w:after="0" w:line="240" w:lineRule="auto"/>
        <w:jc w:val="both"/>
        <w:rPr>
          <w:color w:val="000000"/>
          <w:sz w:val="18"/>
          <w:szCs w:val="18"/>
        </w:rPr>
      </w:pPr>
      <w:r>
        <w:rPr>
          <w:color w:val="000000"/>
          <w:sz w:val="18"/>
          <w:szCs w:val="18"/>
        </w:rPr>
        <w:t xml:space="preserve">Several CR curricula and methods </w:t>
      </w:r>
      <w:r w:rsidR="00A74C3B">
        <w:rPr>
          <w:color w:val="000000"/>
          <w:sz w:val="18"/>
          <w:szCs w:val="18"/>
        </w:rPr>
        <w:t>to</w:t>
      </w:r>
      <w:r>
        <w:rPr>
          <w:color w:val="000000"/>
          <w:sz w:val="18"/>
          <w:szCs w:val="18"/>
        </w:rPr>
        <w:t xml:space="preserve"> support </w:t>
      </w:r>
      <w:r w:rsidR="00A74C3B">
        <w:rPr>
          <w:color w:val="000000"/>
          <w:sz w:val="18"/>
          <w:szCs w:val="18"/>
        </w:rPr>
        <w:t xml:space="preserve">the acquisition of </w:t>
      </w:r>
      <w:r>
        <w:rPr>
          <w:color w:val="000000"/>
          <w:sz w:val="18"/>
          <w:szCs w:val="18"/>
        </w:rPr>
        <w:t xml:space="preserve">this skill are available [3-5]. Researchers have also </w:t>
      </w:r>
      <w:r w:rsidR="00A74C3B">
        <w:rPr>
          <w:color w:val="000000"/>
          <w:sz w:val="18"/>
          <w:szCs w:val="18"/>
        </w:rPr>
        <w:t xml:space="preserve">proposed </w:t>
      </w:r>
      <w:r>
        <w:rPr>
          <w:color w:val="000000"/>
          <w:sz w:val="18"/>
          <w:szCs w:val="18"/>
        </w:rPr>
        <w:t xml:space="preserve">general approaches </w:t>
      </w:r>
      <w:r w:rsidR="00A74C3B">
        <w:rPr>
          <w:color w:val="000000"/>
          <w:sz w:val="18"/>
          <w:szCs w:val="18"/>
        </w:rPr>
        <w:t xml:space="preserve">to </w:t>
      </w:r>
      <w:r>
        <w:rPr>
          <w:color w:val="000000"/>
          <w:sz w:val="18"/>
          <w:szCs w:val="18"/>
        </w:rPr>
        <w:t xml:space="preserve">learning CR in alignment with digital tools [1,2]. However, what </w:t>
      </w:r>
      <w:r w:rsidR="00A74C3B">
        <w:rPr>
          <w:color w:val="000000"/>
          <w:sz w:val="18"/>
          <w:szCs w:val="18"/>
        </w:rPr>
        <w:t xml:space="preserve">remains lacking </w:t>
      </w:r>
      <w:r>
        <w:rPr>
          <w:color w:val="000000"/>
          <w:sz w:val="18"/>
          <w:szCs w:val="18"/>
        </w:rPr>
        <w:t xml:space="preserve">is a comprehensive curriculum with learning resources that explicitly </w:t>
      </w:r>
      <w:r w:rsidR="00A74C3B">
        <w:rPr>
          <w:color w:val="000000"/>
          <w:sz w:val="18"/>
          <w:szCs w:val="18"/>
        </w:rPr>
        <w:t xml:space="preserve">address the </w:t>
      </w:r>
      <w:r>
        <w:rPr>
          <w:color w:val="000000"/>
          <w:sz w:val="18"/>
          <w:szCs w:val="18"/>
        </w:rPr>
        <w:t>use of digital tools in CR.</w:t>
      </w:r>
    </w:p>
    <w:p w14:paraId="0000000C" w14:textId="77777777" w:rsidR="00C20816" w:rsidRDefault="00000000">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Solution to the problem</w:t>
      </w:r>
    </w:p>
    <w:p w14:paraId="0000000D" w14:textId="047765CE" w:rsidR="00C20816" w:rsidRDefault="00000000">
      <w:pPr>
        <w:pBdr>
          <w:top w:val="nil"/>
          <w:left w:val="nil"/>
          <w:bottom w:val="nil"/>
          <w:right w:val="nil"/>
          <w:between w:val="nil"/>
        </w:pBdr>
        <w:spacing w:after="0" w:line="240" w:lineRule="auto"/>
        <w:jc w:val="both"/>
        <w:rPr>
          <w:color w:val="000000"/>
          <w:sz w:val="18"/>
          <w:szCs w:val="18"/>
        </w:rPr>
      </w:pPr>
      <w:r>
        <w:rPr>
          <w:color w:val="000000"/>
          <w:sz w:val="18"/>
          <w:szCs w:val="18"/>
        </w:rPr>
        <w:t xml:space="preserve">The D-CREDO </w:t>
      </w:r>
      <w:r w:rsidR="00A74C3B">
        <w:rPr>
          <w:color w:val="000000"/>
          <w:sz w:val="18"/>
          <w:szCs w:val="18"/>
        </w:rPr>
        <w:t xml:space="preserve">project </w:t>
      </w:r>
      <w:r>
        <w:rPr>
          <w:color w:val="000000"/>
          <w:sz w:val="18"/>
          <w:szCs w:val="18"/>
        </w:rPr>
        <w:t>[6]</w:t>
      </w:r>
      <w:r w:rsidR="00A74C3B">
        <w:rPr>
          <w:color w:val="000000"/>
          <w:sz w:val="18"/>
          <w:szCs w:val="18"/>
        </w:rPr>
        <w:t>,</w:t>
      </w:r>
      <w:r>
        <w:rPr>
          <w:color w:val="000000"/>
          <w:sz w:val="18"/>
          <w:szCs w:val="18"/>
        </w:rPr>
        <w:t xml:space="preserve"> a three-year </w:t>
      </w:r>
      <w:r w:rsidR="00015947">
        <w:rPr>
          <w:color w:val="000000"/>
          <w:sz w:val="18"/>
          <w:szCs w:val="18"/>
        </w:rPr>
        <w:t xml:space="preserve">initiative </w:t>
      </w:r>
      <w:r w:rsidR="00A74C3B">
        <w:rPr>
          <w:color w:val="000000"/>
          <w:sz w:val="18"/>
          <w:szCs w:val="18"/>
        </w:rPr>
        <w:t xml:space="preserve">launched </w:t>
      </w:r>
      <w:r>
        <w:rPr>
          <w:color w:val="000000"/>
          <w:sz w:val="18"/>
          <w:szCs w:val="18"/>
        </w:rPr>
        <w:t>in 2024 and funded by the European Commission</w:t>
      </w:r>
      <w:r w:rsidR="00A74C3B">
        <w:rPr>
          <w:color w:val="000000"/>
          <w:sz w:val="18"/>
          <w:szCs w:val="18"/>
        </w:rPr>
        <w:t xml:space="preserve">, aim </w:t>
      </w:r>
      <w:r>
        <w:rPr>
          <w:sz w:val="18"/>
          <w:szCs w:val="18"/>
        </w:rPr>
        <w:t>t</w:t>
      </w:r>
      <w:r>
        <w:rPr>
          <w:color w:val="000000"/>
          <w:sz w:val="18"/>
          <w:szCs w:val="18"/>
        </w:rPr>
        <w:t xml:space="preserve">o develop a curriculum </w:t>
      </w:r>
      <w:r w:rsidR="00A74C3B">
        <w:rPr>
          <w:color w:val="000000"/>
          <w:sz w:val="18"/>
          <w:szCs w:val="18"/>
        </w:rPr>
        <w:t xml:space="preserve">that </w:t>
      </w:r>
      <w:r>
        <w:rPr>
          <w:color w:val="000000"/>
          <w:sz w:val="18"/>
          <w:szCs w:val="18"/>
        </w:rPr>
        <w:t>teach</w:t>
      </w:r>
      <w:r w:rsidR="00A74C3B">
        <w:rPr>
          <w:color w:val="000000"/>
          <w:sz w:val="18"/>
          <w:szCs w:val="18"/>
        </w:rPr>
        <w:t xml:space="preserve">es </w:t>
      </w:r>
      <w:r>
        <w:rPr>
          <w:color w:val="000000"/>
          <w:sz w:val="18"/>
          <w:szCs w:val="18"/>
        </w:rPr>
        <w:t xml:space="preserve">both undergraduate health professional students and their teachers how to use digital tools in CR practice. The authors, representing the coordinating institution, </w:t>
      </w:r>
      <w:r w:rsidR="00A74C3B">
        <w:rPr>
          <w:color w:val="000000"/>
          <w:sz w:val="18"/>
          <w:szCs w:val="18"/>
        </w:rPr>
        <w:t>work</w:t>
      </w:r>
      <w:r>
        <w:rPr>
          <w:color w:val="000000"/>
          <w:sz w:val="18"/>
          <w:szCs w:val="18"/>
        </w:rPr>
        <w:t xml:space="preserve"> closely with project partners from Austria, Germany, the Netherlands, and Ukraine </w:t>
      </w:r>
      <w:r w:rsidR="00A74C3B">
        <w:rPr>
          <w:color w:val="000000"/>
          <w:sz w:val="18"/>
          <w:szCs w:val="18"/>
        </w:rPr>
        <w:t xml:space="preserve">across </w:t>
      </w:r>
      <w:r>
        <w:rPr>
          <w:color w:val="000000"/>
          <w:sz w:val="18"/>
          <w:szCs w:val="18"/>
        </w:rPr>
        <w:t xml:space="preserve">several stages of the curriculum development process. The needs analysis </w:t>
      </w:r>
      <w:r w:rsidR="00A74C3B">
        <w:rPr>
          <w:color w:val="000000"/>
          <w:sz w:val="18"/>
          <w:szCs w:val="18"/>
        </w:rPr>
        <w:t>comprised</w:t>
      </w:r>
      <w:r>
        <w:rPr>
          <w:color w:val="000000"/>
          <w:sz w:val="18"/>
          <w:szCs w:val="18"/>
        </w:rPr>
        <w:t xml:space="preserve"> 30 semi-structured interviews and 118 survey responses </w:t>
      </w:r>
      <w:r w:rsidR="00A74C3B">
        <w:rPr>
          <w:color w:val="000000"/>
          <w:sz w:val="18"/>
          <w:szCs w:val="18"/>
        </w:rPr>
        <w:t xml:space="preserve">collected </w:t>
      </w:r>
      <w:r>
        <w:rPr>
          <w:color w:val="000000"/>
          <w:sz w:val="18"/>
          <w:szCs w:val="18"/>
        </w:rPr>
        <w:t>across partner institutions</w:t>
      </w:r>
      <w:r w:rsidR="00A74C3B">
        <w:rPr>
          <w:color w:val="000000"/>
          <w:sz w:val="18"/>
          <w:szCs w:val="18"/>
        </w:rPr>
        <w:t>.</w:t>
      </w:r>
      <w:r>
        <w:rPr>
          <w:color w:val="000000"/>
          <w:sz w:val="18"/>
          <w:szCs w:val="18"/>
        </w:rPr>
        <w:t xml:space="preserve"> </w:t>
      </w:r>
      <w:r w:rsidR="00A74C3B">
        <w:rPr>
          <w:color w:val="000000"/>
          <w:sz w:val="18"/>
          <w:szCs w:val="18"/>
        </w:rPr>
        <w:t>I</w:t>
      </w:r>
      <w:r>
        <w:rPr>
          <w:color w:val="000000"/>
          <w:sz w:val="18"/>
          <w:szCs w:val="18"/>
        </w:rPr>
        <w:t xml:space="preserve">t </w:t>
      </w:r>
      <w:r w:rsidR="00CA7510">
        <w:rPr>
          <w:color w:val="000000"/>
          <w:sz w:val="18"/>
          <w:szCs w:val="18"/>
        </w:rPr>
        <w:t>enabled</w:t>
      </w:r>
      <w:r>
        <w:rPr>
          <w:color w:val="000000"/>
          <w:sz w:val="18"/>
          <w:szCs w:val="18"/>
        </w:rPr>
        <w:t xml:space="preserve"> the selection of digital tool categories considered </w:t>
      </w:r>
      <w:r>
        <w:rPr>
          <w:color w:val="000000"/>
          <w:sz w:val="18"/>
          <w:szCs w:val="18"/>
        </w:rPr>
        <w:lastRenderedPageBreak/>
        <w:t xml:space="preserve">particularly relevant for the CR process: AI in image analysis, large language models and big data technologies, mHealth </w:t>
      </w:r>
      <w:r w:rsidR="001A2B0C">
        <w:rPr>
          <w:color w:val="000000"/>
          <w:sz w:val="18"/>
          <w:szCs w:val="18"/>
        </w:rPr>
        <w:t>applications</w:t>
      </w:r>
      <w:r>
        <w:rPr>
          <w:color w:val="000000"/>
          <w:sz w:val="18"/>
          <w:szCs w:val="18"/>
        </w:rPr>
        <w:t xml:space="preserve"> and wearables, electronic health records with clinical decision support functionality, and telehealth technologies </w:t>
      </w:r>
      <w:r w:rsidR="001A2B0C">
        <w:rPr>
          <w:color w:val="000000"/>
          <w:sz w:val="18"/>
          <w:szCs w:val="18"/>
        </w:rPr>
        <w:t>such as</w:t>
      </w:r>
      <w:r>
        <w:rPr>
          <w:color w:val="000000"/>
          <w:sz w:val="18"/>
          <w:szCs w:val="18"/>
        </w:rPr>
        <w:t xml:space="preserve"> videoconferencing and remote monitoring. </w:t>
      </w:r>
      <w:r w:rsidR="001A2B0C">
        <w:rPr>
          <w:color w:val="000000"/>
          <w:sz w:val="18"/>
          <w:szCs w:val="18"/>
        </w:rPr>
        <w:t>Building on</w:t>
      </w:r>
      <w:r>
        <w:rPr>
          <w:color w:val="000000"/>
          <w:sz w:val="18"/>
          <w:szCs w:val="18"/>
        </w:rPr>
        <w:t xml:space="preserve"> a systematic rapid review </w:t>
      </w:r>
      <w:r w:rsidR="001A2B0C">
        <w:rPr>
          <w:color w:val="000000"/>
          <w:sz w:val="18"/>
          <w:szCs w:val="18"/>
        </w:rPr>
        <w:t xml:space="preserve">of </w:t>
      </w:r>
      <w:r>
        <w:rPr>
          <w:color w:val="000000"/>
          <w:sz w:val="18"/>
          <w:szCs w:val="18"/>
        </w:rPr>
        <w:t xml:space="preserve">more than 1500 abstracts from the literature [7] and a Delphi consensus process with associated partners, the consortium has developed a catalogue of 26 learning objectives and </w:t>
      </w:r>
      <w:r w:rsidR="001A2B0C">
        <w:rPr>
          <w:color w:val="000000"/>
          <w:sz w:val="18"/>
          <w:szCs w:val="18"/>
        </w:rPr>
        <w:t xml:space="preserve">produced </w:t>
      </w:r>
      <w:r>
        <w:rPr>
          <w:color w:val="000000"/>
          <w:sz w:val="18"/>
          <w:szCs w:val="18"/>
        </w:rPr>
        <w:t xml:space="preserve">a white paper </w:t>
      </w:r>
      <w:r w:rsidR="001A2B0C">
        <w:rPr>
          <w:color w:val="000000"/>
          <w:sz w:val="18"/>
          <w:szCs w:val="18"/>
        </w:rPr>
        <w:t xml:space="preserve">outlining </w:t>
      </w:r>
      <w:r>
        <w:rPr>
          <w:color w:val="000000"/>
          <w:sz w:val="18"/>
          <w:szCs w:val="18"/>
        </w:rPr>
        <w:t xml:space="preserve">selected learning and assessment strategies, </w:t>
      </w:r>
      <w:r w:rsidR="001A2B0C">
        <w:rPr>
          <w:color w:val="000000"/>
          <w:sz w:val="18"/>
          <w:szCs w:val="18"/>
        </w:rPr>
        <w:t xml:space="preserve">both available as </w:t>
      </w:r>
      <w:r>
        <w:rPr>
          <w:color w:val="000000"/>
          <w:sz w:val="18"/>
          <w:szCs w:val="18"/>
        </w:rPr>
        <w:t xml:space="preserve">deliverables on the project website: </w:t>
      </w:r>
      <w:hyperlink r:id="rId8">
        <w:r w:rsidR="00C20816">
          <w:rPr>
            <w:color w:val="0563C1"/>
            <w:sz w:val="18"/>
            <w:szCs w:val="18"/>
            <w:u w:val="single"/>
          </w:rPr>
          <w:t>https://d-credo.eu</w:t>
        </w:r>
      </w:hyperlink>
      <w:r>
        <w:rPr>
          <w:color w:val="000000"/>
          <w:sz w:val="18"/>
          <w:szCs w:val="18"/>
        </w:rPr>
        <w:t>. At the current stage, the project is finalizing a blueprint of more than ten new learning units that extend the existing DID-ACT curriculum [4]. The curriculum</w:t>
      </w:r>
      <w:r w:rsidR="001A2B0C">
        <w:rPr>
          <w:color w:val="000000"/>
          <w:sz w:val="18"/>
          <w:szCs w:val="18"/>
        </w:rPr>
        <w:t xml:space="preserve"> is</w:t>
      </w:r>
      <w:r>
        <w:rPr>
          <w:color w:val="000000"/>
          <w:sz w:val="18"/>
          <w:szCs w:val="18"/>
        </w:rPr>
        <w:t xml:space="preserve"> grounded in theoretical frameworks </w:t>
      </w:r>
      <w:r w:rsidR="001A2B0C">
        <w:rPr>
          <w:color w:val="000000"/>
          <w:sz w:val="18"/>
          <w:szCs w:val="18"/>
        </w:rPr>
        <w:t xml:space="preserve">such </w:t>
      </w:r>
      <w:r>
        <w:rPr>
          <w:color w:val="000000"/>
          <w:sz w:val="18"/>
          <w:szCs w:val="18"/>
        </w:rPr>
        <w:t xml:space="preserve">as distributed cognition theory, cognitive load theory, and experiential learning theory, </w:t>
      </w:r>
      <w:r w:rsidR="001A2B0C">
        <w:rPr>
          <w:color w:val="000000"/>
          <w:sz w:val="18"/>
          <w:szCs w:val="18"/>
        </w:rPr>
        <w:t xml:space="preserve">and </w:t>
      </w:r>
      <w:r>
        <w:rPr>
          <w:color w:val="000000"/>
          <w:sz w:val="18"/>
          <w:szCs w:val="18"/>
        </w:rPr>
        <w:t xml:space="preserve">is </w:t>
      </w:r>
      <w:r w:rsidR="001A2B0C">
        <w:rPr>
          <w:color w:val="000000"/>
          <w:sz w:val="18"/>
          <w:szCs w:val="18"/>
        </w:rPr>
        <w:t xml:space="preserve">designed </w:t>
      </w:r>
      <w:r>
        <w:rPr>
          <w:color w:val="000000"/>
          <w:sz w:val="18"/>
          <w:szCs w:val="18"/>
        </w:rPr>
        <w:t xml:space="preserve">to </w:t>
      </w:r>
      <w:r w:rsidR="001A2B0C">
        <w:rPr>
          <w:color w:val="000000"/>
          <w:sz w:val="18"/>
          <w:szCs w:val="18"/>
        </w:rPr>
        <w:t xml:space="preserve">include a range </w:t>
      </w:r>
      <w:r>
        <w:rPr>
          <w:color w:val="000000"/>
          <w:sz w:val="18"/>
          <w:szCs w:val="18"/>
        </w:rPr>
        <w:t xml:space="preserve">of self-directed and group learning activities. This </w:t>
      </w:r>
      <w:r w:rsidR="001A2B0C">
        <w:rPr>
          <w:color w:val="000000"/>
          <w:sz w:val="18"/>
          <w:szCs w:val="18"/>
        </w:rPr>
        <w:t xml:space="preserve">activities will </w:t>
      </w:r>
      <w:r>
        <w:rPr>
          <w:color w:val="000000"/>
          <w:sz w:val="18"/>
          <w:szCs w:val="18"/>
        </w:rPr>
        <w:t>cover, e.g. CR-focused prompt engineering techniques, role-played virtual visits, strategic data synthesis of patient information across the electronic health record</w:t>
      </w:r>
      <w:r w:rsidR="001A2B0C">
        <w:rPr>
          <w:color w:val="000000"/>
          <w:sz w:val="18"/>
          <w:szCs w:val="18"/>
        </w:rPr>
        <w:t>,</w:t>
      </w:r>
      <w:r>
        <w:rPr>
          <w:color w:val="000000"/>
          <w:sz w:val="18"/>
          <w:szCs w:val="18"/>
        </w:rPr>
        <w:t xml:space="preserve"> and </w:t>
      </w:r>
      <w:r w:rsidR="001A2B0C">
        <w:rPr>
          <w:color w:val="000000"/>
          <w:sz w:val="18"/>
          <w:szCs w:val="18"/>
        </w:rPr>
        <w:t xml:space="preserve">the </w:t>
      </w:r>
      <w:r>
        <w:rPr>
          <w:sz w:val="18"/>
          <w:szCs w:val="18"/>
        </w:rPr>
        <w:t>ethical and legal aspects of CR with digital tools</w:t>
      </w:r>
      <w:r>
        <w:rPr>
          <w:color w:val="000000"/>
          <w:sz w:val="18"/>
          <w:szCs w:val="18"/>
        </w:rPr>
        <w:t>. The learning units will feature virtual patients adapted from the iCoViP repository</w:t>
      </w:r>
      <w:r w:rsidR="001A2B0C">
        <w:rPr>
          <w:color w:val="000000"/>
          <w:sz w:val="18"/>
          <w:szCs w:val="18"/>
        </w:rPr>
        <w:t>,</w:t>
      </w:r>
      <w:r>
        <w:rPr>
          <w:color w:val="000000"/>
          <w:sz w:val="18"/>
          <w:szCs w:val="18"/>
        </w:rPr>
        <w:t xml:space="preserve"> </w:t>
      </w:r>
      <w:r w:rsidR="001A2B0C">
        <w:rPr>
          <w:color w:val="000000"/>
          <w:sz w:val="18"/>
          <w:szCs w:val="18"/>
        </w:rPr>
        <w:t xml:space="preserve">illustrating </w:t>
      </w:r>
      <w:r>
        <w:rPr>
          <w:color w:val="000000"/>
          <w:sz w:val="18"/>
          <w:szCs w:val="18"/>
        </w:rPr>
        <w:t xml:space="preserve">the use of D-CREDO digital tools in CR practice [5]. </w:t>
      </w:r>
    </w:p>
    <w:p w14:paraId="0000000E" w14:textId="77777777" w:rsidR="00C20816" w:rsidRDefault="00000000">
      <w:pPr>
        <w:numPr>
          <w:ilvl w:val="0"/>
          <w:numId w:val="1"/>
        </w:numPr>
        <w:pBdr>
          <w:top w:val="nil"/>
          <w:left w:val="nil"/>
          <w:bottom w:val="nil"/>
          <w:right w:val="nil"/>
          <w:between w:val="nil"/>
        </w:pBdr>
        <w:spacing w:before="240" w:after="120" w:line="240" w:lineRule="auto"/>
        <w:ind w:left="227" w:hanging="227"/>
        <w:rPr>
          <w:color w:val="000000"/>
        </w:rPr>
      </w:pPr>
      <w:r>
        <w:rPr>
          <w:b/>
          <w:color w:val="000000"/>
        </w:rPr>
        <w:t>Conclusions and future work</w:t>
      </w:r>
    </w:p>
    <w:p w14:paraId="0000000F" w14:textId="2D1BE2D1" w:rsidR="00C20816" w:rsidRDefault="001A2B0C">
      <w:pPr>
        <w:pBdr>
          <w:top w:val="nil"/>
          <w:left w:val="nil"/>
          <w:bottom w:val="nil"/>
          <w:right w:val="nil"/>
          <w:between w:val="nil"/>
        </w:pBdr>
        <w:spacing w:after="0" w:line="240" w:lineRule="auto"/>
        <w:jc w:val="both"/>
        <w:rPr>
          <w:color w:val="000000"/>
          <w:sz w:val="18"/>
          <w:szCs w:val="18"/>
        </w:rPr>
      </w:pPr>
      <w:r>
        <w:rPr>
          <w:color w:val="000000"/>
          <w:sz w:val="18"/>
          <w:szCs w:val="18"/>
        </w:rPr>
        <w:t>During the first year</w:t>
      </w:r>
      <w:r w:rsidR="003B064A">
        <w:rPr>
          <w:color w:val="000000"/>
          <w:sz w:val="18"/>
          <w:szCs w:val="18"/>
        </w:rPr>
        <w:t>,</w:t>
      </w:r>
      <w:r>
        <w:rPr>
          <w:color w:val="000000"/>
          <w:sz w:val="18"/>
          <w:szCs w:val="18"/>
        </w:rPr>
        <w:t xml:space="preserve"> the D-CREDO project</w:t>
      </w:r>
      <w:r w:rsidR="003B064A">
        <w:rPr>
          <w:color w:val="000000"/>
          <w:sz w:val="18"/>
          <w:szCs w:val="18"/>
        </w:rPr>
        <w:t xml:space="preserve"> delivered </w:t>
      </w:r>
      <w:r>
        <w:rPr>
          <w:color w:val="000000"/>
          <w:sz w:val="18"/>
          <w:szCs w:val="18"/>
        </w:rPr>
        <w:t xml:space="preserve">a comprehensive set of source materials, along with an understanding of the needs of the stakeholders involved in CR education. These will be transformed into interactive learning units based on the blueprint </w:t>
      </w:r>
      <w:r>
        <w:rPr>
          <w:sz w:val="18"/>
          <w:szCs w:val="18"/>
        </w:rPr>
        <w:t>during the second year of the project</w:t>
      </w:r>
      <w:r>
        <w:rPr>
          <w:color w:val="000000"/>
          <w:sz w:val="18"/>
          <w:szCs w:val="18"/>
        </w:rPr>
        <w:t xml:space="preserve">, and then verified and refined in the final year based on eight implementation studies. The associated partner network </w:t>
      </w:r>
      <w:r w:rsidR="003B064A">
        <w:rPr>
          <w:color w:val="000000"/>
          <w:sz w:val="18"/>
          <w:szCs w:val="18"/>
        </w:rPr>
        <w:t xml:space="preserve">of the project is </w:t>
      </w:r>
      <w:r>
        <w:rPr>
          <w:color w:val="000000"/>
          <w:sz w:val="18"/>
          <w:szCs w:val="18"/>
        </w:rPr>
        <w:t xml:space="preserve">open </w:t>
      </w:r>
      <w:r w:rsidR="003B064A">
        <w:rPr>
          <w:color w:val="000000"/>
          <w:sz w:val="18"/>
          <w:szCs w:val="18"/>
        </w:rPr>
        <w:t xml:space="preserve">to </w:t>
      </w:r>
      <w:r>
        <w:rPr>
          <w:color w:val="000000"/>
          <w:sz w:val="18"/>
          <w:szCs w:val="18"/>
        </w:rPr>
        <w:t xml:space="preserve">collaboration with external institutions </w:t>
      </w:r>
      <w:r w:rsidR="003B064A">
        <w:rPr>
          <w:color w:val="000000"/>
          <w:sz w:val="18"/>
          <w:szCs w:val="18"/>
        </w:rPr>
        <w:t xml:space="preserve">interested in adopting </w:t>
      </w:r>
      <w:r>
        <w:rPr>
          <w:color w:val="000000"/>
          <w:sz w:val="18"/>
          <w:szCs w:val="18"/>
        </w:rPr>
        <w:t xml:space="preserve">the learning units or </w:t>
      </w:r>
      <w:r w:rsidR="003B064A">
        <w:rPr>
          <w:color w:val="000000"/>
          <w:sz w:val="18"/>
          <w:szCs w:val="18"/>
        </w:rPr>
        <w:t xml:space="preserve">contributing </w:t>
      </w:r>
      <w:r>
        <w:rPr>
          <w:color w:val="000000"/>
          <w:sz w:val="18"/>
          <w:szCs w:val="18"/>
        </w:rPr>
        <w:t>digital tools relevant for CR practice and education</w:t>
      </w:r>
      <w:r w:rsidR="003B064A">
        <w:rPr>
          <w:color w:val="000000"/>
          <w:sz w:val="18"/>
          <w:szCs w:val="18"/>
        </w:rPr>
        <w:t>.</w:t>
      </w:r>
      <w:r>
        <w:rPr>
          <w:color w:val="000000"/>
          <w:sz w:val="18"/>
          <w:szCs w:val="18"/>
        </w:rPr>
        <w:t xml:space="preserve"> </w:t>
      </w:r>
      <w:r w:rsidR="003B064A">
        <w:rPr>
          <w:color w:val="000000"/>
          <w:sz w:val="18"/>
          <w:szCs w:val="18"/>
        </w:rPr>
        <w:t xml:space="preserve">Such tools can be </w:t>
      </w:r>
      <w:r>
        <w:rPr>
          <w:color w:val="000000"/>
          <w:sz w:val="18"/>
          <w:szCs w:val="18"/>
        </w:rPr>
        <w:t xml:space="preserve">integrated into the curriculum </w:t>
      </w:r>
      <w:r w:rsidR="003B064A">
        <w:rPr>
          <w:color w:val="000000"/>
          <w:sz w:val="18"/>
          <w:szCs w:val="18"/>
        </w:rPr>
        <w:t xml:space="preserve">as examples, </w:t>
      </w:r>
      <w:r>
        <w:rPr>
          <w:color w:val="000000"/>
          <w:sz w:val="18"/>
          <w:szCs w:val="18"/>
        </w:rPr>
        <w:t xml:space="preserve">and thereby learned, tested, and disseminated by a </w:t>
      </w:r>
      <w:r w:rsidR="003B064A">
        <w:rPr>
          <w:color w:val="000000"/>
          <w:sz w:val="18"/>
          <w:szCs w:val="18"/>
        </w:rPr>
        <w:t>broader</w:t>
      </w:r>
      <w:r>
        <w:rPr>
          <w:color w:val="000000"/>
          <w:sz w:val="18"/>
          <w:szCs w:val="18"/>
        </w:rPr>
        <w:t xml:space="preserve"> </w:t>
      </w:r>
      <w:r w:rsidR="003B064A">
        <w:rPr>
          <w:color w:val="000000"/>
          <w:sz w:val="18"/>
          <w:szCs w:val="18"/>
        </w:rPr>
        <w:t xml:space="preserve">community </w:t>
      </w:r>
      <w:r>
        <w:rPr>
          <w:color w:val="000000"/>
          <w:sz w:val="18"/>
          <w:szCs w:val="18"/>
        </w:rPr>
        <w:t xml:space="preserve">of future health professionals. </w:t>
      </w:r>
    </w:p>
    <w:p w14:paraId="00000010" w14:textId="08F9F042" w:rsidR="00C20816" w:rsidRDefault="00000000">
      <w:pPr>
        <w:pBdr>
          <w:top w:val="nil"/>
          <w:left w:val="nil"/>
          <w:bottom w:val="nil"/>
          <w:right w:val="nil"/>
          <w:between w:val="nil"/>
        </w:pBdr>
        <w:spacing w:before="240" w:after="120" w:line="240" w:lineRule="auto"/>
        <w:jc w:val="both"/>
        <w:rPr>
          <w:color w:val="000000"/>
          <w:sz w:val="18"/>
          <w:szCs w:val="18"/>
        </w:rPr>
      </w:pPr>
      <w:r>
        <w:rPr>
          <w:b/>
          <w:color w:val="000000"/>
          <w:sz w:val="18"/>
          <w:szCs w:val="18"/>
        </w:rPr>
        <w:t xml:space="preserve">Acknowledgements. </w:t>
      </w:r>
      <w:r>
        <w:rPr>
          <w:color w:val="000000"/>
          <w:sz w:val="18"/>
          <w:szCs w:val="18"/>
        </w:rPr>
        <w:t xml:space="preserve">We acknowledge the support of the EU under grant D-CREDO No. 2024-1-PL01-KA220-HED-000247790 (Erasmus+, Cooperation Partnerships in Higher Education). The project partner institutions on behalf of which the abstract is presented </w:t>
      </w:r>
      <w:r w:rsidR="00282630">
        <w:rPr>
          <w:color w:val="000000"/>
          <w:sz w:val="18"/>
          <w:szCs w:val="18"/>
        </w:rPr>
        <w:t>are</w:t>
      </w:r>
      <w:r>
        <w:rPr>
          <w:color w:val="000000"/>
          <w:sz w:val="18"/>
          <w:szCs w:val="18"/>
        </w:rPr>
        <w:t xml:space="preserve">: Bukovinian State Medical University </w:t>
      </w:r>
      <w:r w:rsidR="00282630">
        <w:rPr>
          <w:color w:val="000000"/>
          <w:sz w:val="18"/>
          <w:szCs w:val="18"/>
        </w:rPr>
        <w:t>(</w:t>
      </w:r>
      <w:r>
        <w:rPr>
          <w:color w:val="000000"/>
          <w:sz w:val="18"/>
          <w:szCs w:val="18"/>
        </w:rPr>
        <w:t>Ukraine</w:t>
      </w:r>
      <w:r w:rsidR="00282630">
        <w:rPr>
          <w:color w:val="000000"/>
          <w:sz w:val="18"/>
          <w:szCs w:val="18"/>
        </w:rPr>
        <w:t>)</w:t>
      </w:r>
      <w:r>
        <w:rPr>
          <w:color w:val="000000"/>
          <w:sz w:val="18"/>
          <w:szCs w:val="18"/>
        </w:rPr>
        <w:t xml:space="preserve">; Erasmus Universitair Medisch Centrum, Rotterdam </w:t>
      </w:r>
      <w:r w:rsidR="00282630">
        <w:rPr>
          <w:color w:val="000000"/>
          <w:sz w:val="18"/>
          <w:szCs w:val="18"/>
        </w:rPr>
        <w:t>(</w:t>
      </w:r>
      <w:r>
        <w:rPr>
          <w:color w:val="000000"/>
          <w:sz w:val="18"/>
          <w:szCs w:val="18"/>
        </w:rPr>
        <w:t>the Netherlands</w:t>
      </w:r>
      <w:r w:rsidR="00282630">
        <w:rPr>
          <w:color w:val="000000"/>
          <w:sz w:val="18"/>
          <w:szCs w:val="18"/>
        </w:rPr>
        <w:t>)</w:t>
      </w:r>
      <w:r>
        <w:rPr>
          <w:color w:val="000000"/>
          <w:sz w:val="18"/>
          <w:szCs w:val="18"/>
        </w:rPr>
        <w:t xml:space="preserve">; Instruct gGmbH, Munich </w:t>
      </w:r>
      <w:r w:rsidR="00282630">
        <w:rPr>
          <w:color w:val="000000"/>
          <w:sz w:val="18"/>
          <w:szCs w:val="18"/>
        </w:rPr>
        <w:t>(</w:t>
      </w:r>
      <w:r>
        <w:rPr>
          <w:color w:val="000000"/>
          <w:sz w:val="18"/>
          <w:szCs w:val="18"/>
        </w:rPr>
        <w:t>Germany</w:t>
      </w:r>
      <w:r w:rsidR="00282630">
        <w:rPr>
          <w:color w:val="000000"/>
          <w:sz w:val="18"/>
          <w:szCs w:val="18"/>
        </w:rPr>
        <w:t>)</w:t>
      </w:r>
      <w:r>
        <w:rPr>
          <w:color w:val="000000"/>
          <w:sz w:val="18"/>
          <w:szCs w:val="18"/>
        </w:rPr>
        <w:t xml:space="preserve">; UMIT Tirol, Hall, </w:t>
      </w:r>
      <w:r w:rsidR="00282630">
        <w:rPr>
          <w:color w:val="000000"/>
          <w:sz w:val="18"/>
          <w:szCs w:val="18"/>
        </w:rPr>
        <w:t>(</w:t>
      </w:r>
      <w:r>
        <w:rPr>
          <w:color w:val="000000"/>
          <w:sz w:val="18"/>
          <w:szCs w:val="18"/>
        </w:rPr>
        <w:t>Austria</w:t>
      </w:r>
      <w:r w:rsidR="00282630">
        <w:rPr>
          <w:color w:val="000000"/>
          <w:sz w:val="18"/>
          <w:szCs w:val="18"/>
        </w:rPr>
        <w:t>)</w:t>
      </w:r>
      <w:r>
        <w:rPr>
          <w:color w:val="000000"/>
          <w:sz w:val="18"/>
          <w:szCs w:val="18"/>
        </w:rPr>
        <w:t>.</w:t>
      </w:r>
    </w:p>
    <w:p w14:paraId="00000011" w14:textId="77777777" w:rsidR="00C20816" w:rsidRDefault="00000000">
      <w:pPr>
        <w:pBdr>
          <w:top w:val="nil"/>
          <w:left w:val="nil"/>
          <w:bottom w:val="nil"/>
          <w:right w:val="nil"/>
          <w:between w:val="nil"/>
        </w:pBdr>
        <w:spacing w:before="240" w:after="120" w:line="240" w:lineRule="auto"/>
        <w:ind w:left="227" w:hanging="227"/>
        <w:rPr>
          <w:b/>
          <w:color w:val="000000"/>
        </w:rPr>
      </w:pPr>
      <w:r>
        <w:rPr>
          <w:b/>
          <w:color w:val="000000"/>
        </w:rPr>
        <w:t>References</w:t>
      </w:r>
    </w:p>
    <w:p w14:paraId="00000012"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Pr>
          <w:color w:val="000000"/>
          <w:sz w:val="16"/>
          <w:szCs w:val="16"/>
        </w:rPr>
        <w:t xml:space="preserve">Pinnock R, McDonald J, Ritchie D, Durning SJ. </w:t>
      </w:r>
      <w:r>
        <w:rPr>
          <w:i/>
          <w:color w:val="000000"/>
          <w:sz w:val="16"/>
          <w:szCs w:val="16"/>
        </w:rPr>
        <w:t>Humans and machines: Moving towards a more symbiotic approach to learning clinical reasoning</w:t>
      </w:r>
      <w:r>
        <w:rPr>
          <w:color w:val="000000"/>
          <w:sz w:val="16"/>
          <w:szCs w:val="16"/>
        </w:rPr>
        <w:t xml:space="preserve">. Med Teach. 2020 Mar;42(3):246-251. </w:t>
      </w:r>
    </w:p>
    <w:p w14:paraId="00000013"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Pr>
          <w:color w:val="000000"/>
          <w:sz w:val="16"/>
          <w:szCs w:val="16"/>
        </w:rPr>
        <w:t xml:space="preserve">Goh E, Gallo R, Hom J, Strong E, Weng Y, Kerman H, et al. </w:t>
      </w:r>
      <w:r>
        <w:rPr>
          <w:i/>
          <w:color w:val="000000"/>
          <w:sz w:val="16"/>
          <w:szCs w:val="16"/>
        </w:rPr>
        <w:t>Large Language Model Influence on Diagnostic Reasoning: A Randomized Clinical Trial</w:t>
      </w:r>
      <w:r>
        <w:rPr>
          <w:color w:val="000000"/>
          <w:sz w:val="16"/>
          <w:szCs w:val="16"/>
        </w:rPr>
        <w:t>. JAMA Netw Open. 2024 Oct 1;7(10):e2440969.</w:t>
      </w:r>
    </w:p>
    <w:p w14:paraId="00000014"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Pr>
          <w:color w:val="000000"/>
          <w:sz w:val="16"/>
          <w:szCs w:val="16"/>
        </w:rPr>
        <w:t>Elvén M, Welin E, Wiegleb Edström D, Petreski T, Szopa M, Durning SJ et al. Clinical Reasoning Curricula in Health Professions Education: A Scoping Review. J Med Educ Curric Dev. 2023 Oct 25;10:23821205231209093.</w:t>
      </w:r>
    </w:p>
    <w:p w14:paraId="00000015"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sidRPr="00010205">
        <w:rPr>
          <w:color w:val="000000"/>
          <w:sz w:val="16"/>
          <w:szCs w:val="16"/>
          <w:lang w:val="da-DK"/>
        </w:rPr>
        <w:t xml:space="preserve">Hege I, Adler M, Donath D, Durning SJ, Edelbring S, Elvén M, et al. </w:t>
      </w:r>
      <w:r>
        <w:rPr>
          <w:i/>
          <w:color w:val="000000"/>
          <w:sz w:val="16"/>
          <w:szCs w:val="16"/>
        </w:rPr>
        <w:t>Developing a European longitudinal and interprofessional curriculum for clinical reasoning</w:t>
      </w:r>
      <w:r>
        <w:rPr>
          <w:color w:val="000000"/>
          <w:sz w:val="16"/>
          <w:szCs w:val="16"/>
        </w:rPr>
        <w:t>. Diagnosis (Berl). 2023 Feb 20;10(3):218-224.</w:t>
      </w:r>
    </w:p>
    <w:p w14:paraId="00000016"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Pr>
          <w:color w:val="000000"/>
          <w:sz w:val="16"/>
          <w:szCs w:val="16"/>
        </w:rPr>
        <w:t xml:space="preserve">Mayer A, Da Silva Domingues V, Hege I, Kononowicz AA, Larrosa M, Martínez-Jarreta B, et al. </w:t>
      </w:r>
      <w:r>
        <w:rPr>
          <w:i/>
          <w:color w:val="000000"/>
          <w:sz w:val="16"/>
          <w:szCs w:val="16"/>
        </w:rPr>
        <w:t>Planning a Collection of Virtual Patients to Train Clinical Reasoning: A Blueprint Representative of the European Population</w:t>
      </w:r>
      <w:r>
        <w:rPr>
          <w:color w:val="000000"/>
          <w:sz w:val="16"/>
          <w:szCs w:val="16"/>
        </w:rPr>
        <w:t>. Int J Environ Res Public Health. 2022 May 19;19(10):6175.</w:t>
      </w:r>
    </w:p>
    <w:p w14:paraId="00000017"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bookmarkStart w:id="0" w:name="_heading=h.kwk0koab13tn" w:colFirst="0" w:colLast="0"/>
      <w:bookmarkEnd w:id="0"/>
      <w:r>
        <w:rPr>
          <w:color w:val="000000"/>
          <w:sz w:val="16"/>
          <w:szCs w:val="16"/>
        </w:rPr>
        <w:t xml:space="preserve">D-CREDO - </w:t>
      </w:r>
      <w:r>
        <w:rPr>
          <w:i/>
          <w:color w:val="000000"/>
          <w:sz w:val="16"/>
          <w:szCs w:val="16"/>
        </w:rPr>
        <w:t>Digital Health Technologies-augmented Clinical Reasoning Education</w:t>
      </w:r>
      <w:r>
        <w:rPr>
          <w:color w:val="000000"/>
          <w:sz w:val="16"/>
          <w:szCs w:val="16"/>
        </w:rPr>
        <w:t xml:space="preserve">, EU Project, Erasmus+, </w:t>
      </w:r>
      <w:hyperlink r:id="rId9">
        <w:r w:rsidR="00C20816">
          <w:rPr>
            <w:color w:val="0563C1"/>
            <w:sz w:val="16"/>
            <w:szCs w:val="16"/>
            <w:u w:val="single"/>
          </w:rPr>
          <w:t>https://d-credo.eu/</w:t>
        </w:r>
      </w:hyperlink>
    </w:p>
    <w:p w14:paraId="00000018" w14:textId="77777777" w:rsidR="00C20816" w:rsidRDefault="00000000">
      <w:pPr>
        <w:numPr>
          <w:ilvl w:val="0"/>
          <w:numId w:val="2"/>
        </w:numPr>
        <w:pBdr>
          <w:top w:val="nil"/>
          <w:left w:val="nil"/>
          <w:bottom w:val="nil"/>
          <w:right w:val="nil"/>
          <w:between w:val="nil"/>
        </w:pBdr>
        <w:spacing w:after="0" w:line="240" w:lineRule="auto"/>
        <w:ind w:left="340" w:hanging="170"/>
        <w:rPr>
          <w:color w:val="000000"/>
          <w:sz w:val="16"/>
          <w:szCs w:val="16"/>
        </w:rPr>
      </w:pPr>
      <w:r>
        <w:rPr>
          <w:color w:val="000000"/>
          <w:sz w:val="16"/>
          <w:szCs w:val="16"/>
        </w:rPr>
        <w:t xml:space="preserve">Ammenwerth E, Zwaan L. </w:t>
      </w:r>
      <w:r>
        <w:rPr>
          <w:i/>
          <w:color w:val="000000"/>
          <w:sz w:val="16"/>
          <w:szCs w:val="16"/>
        </w:rPr>
        <w:t>Integration of Digital Tools into Clinical Reasoning Education: A Rapid Review</w:t>
      </w:r>
      <w:r>
        <w:rPr>
          <w:color w:val="000000"/>
          <w:sz w:val="16"/>
          <w:szCs w:val="16"/>
        </w:rPr>
        <w:t>. Stud Health Technol Inform. 2025 Apr 24;324:49-50.</w:t>
      </w:r>
    </w:p>
    <w:sectPr w:rsidR="00C20816">
      <w:footerReference w:type="even" r:id="rId10"/>
      <w:pgSz w:w="9242" w:h="13438"/>
      <w:pgMar w:top="1191" w:right="1191" w:bottom="1191" w:left="119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CC97" w14:textId="77777777" w:rsidR="00A56938" w:rsidRDefault="00A56938">
      <w:pPr>
        <w:spacing w:after="0" w:line="240" w:lineRule="auto"/>
      </w:pPr>
      <w:r>
        <w:separator/>
      </w:r>
    </w:p>
  </w:endnote>
  <w:endnote w:type="continuationSeparator" w:id="0">
    <w:p w14:paraId="04735FC6" w14:textId="77777777" w:rsidR="00A56938" w:rsidRDefault="00A5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C20816" w:rsidRDefault="00000000">
    <w:pPr>
      <w:rPr>
        <w:sz w:val="18"/>
        <w:szCs w:val="18"/>
      </w:rPr>
    </w:pPr>
    <w:r>
      <w:rPr>
        <w:sz w:val="18"/>
        <w:szCs w:val="18"/>
      </w:rPr>
      <w:tab/>
      <w:t xml:space="preserve">                                                                       CGW 2013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2906" w14:textId="77777777" w:rsidR="00A56938" w:rsidRDefault="00A56938">
      <w:pPr>
        <w:spacing w:after="0" w:line="240" w:lineRule="auto"/>
      </w:pPr>
      <w:r>
        <w:separator/>
      </w:r>
    </w:p>
  </w:footnote>
  <w:footnote w:type="continuationSeparator" w:id="0">
    <w:p w14:paraId="38DA0F89" w14:textId="77777777" w:rsidR="00A56938" w:rsidRDefault="00A56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F4325"/>
    <w:multiLevelType w:val="multilevel"/>
    <w:tmpl w:val="6422C55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15:restartNumberingAfterBreak="0">
    <w:nsid w:val="3E730A77"/>
    <w:multiLevelType w:val="multilevel"/>
    <w:tmpl w:val="3BB4EE30"/>
    <w:lvl w:ilvl="0">
      <w:start w:val="1"/>
      <w:numFmt w:val="decimal"/>
      <w:pStyle w:val="List-2-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8B0A43"/>
    <w:multiLevelType w:val="multilevel"/>
    <w:tmpl w:val="85DCCF64"/>
    <w:lvl w:ilvl="0">
      <w:start w:val="1"/>
      <w:numFmt w:val="decimal"/>
      <w:pStyle w:val="List-bulleted"/>
      <w:lvlText w:val="%1."/>
      <w:lvlJc w:val="left"/>
      <w:pPr>
        <w:ind w:left="720"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9642302">
    <w:abstractNumId w:val="2"/>
  </w:num>
  <w:num w:numId="2" w16cid:durableId="1664774531">
    <w:abstractNumId w:val="0"/>
  </w:num>
  <w:num w:numId="3" w16cid:durableId="867259350">
    <w:abstractNumId w:val="1"/>
  </w:num>
  <w:num w:numId="4" w16cid:durableId="108206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250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16"/>
    <w:rsid w:val="00010205"/>
    <w:rsid w:val="00015947"/>
    <w:rsid w:val="000E0CF2"/>
    <w:rsid w:val="00190CC0"/>
    <w:rsid w:val="001A2B0C"/>
    <w:rsid w:val="001E0C0B"/>
    <w:rsid w:val="00282630"/>
    <w:rsid w:val="002849F2"/>
    <w:rsid w:val="003B064A"/>
    <w:rsid w:val="006412CA"/>
    <w:rsid w:val="00713E93"/>
    <w:rsid w:val="00A56938"/>
    <w:rsid w:val="00A74C3B"/>
    <w:rsid w:val="00B448A2"/>
    <w:rsid w:val="00C20816"/>
    <w:rsid w:val="00CA7510"/>
    <w:rsid w:val="00EE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11A4"/>
  <w15:docId w15:val="{62529D35-CF3D-418A-AC56-B2FA05E2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style>
  <w:style w:type="paragraph" w:styleId="Heading2">
    <w:name w:val="heading 2"/>
    <w:basedOn w:val="Normal"/>
    <w:next w:val="Normal"/>
    <w:link w:val="Heading2Char"/>
    <w:uiPriority w:val="9"/>
    <w:semiHidden/>
    <w:unhideWhenUsed/>
    <w:qFormat/>
    <w:pPr>
      <w:keepNext/>
      <w:keepLines/>
      <w:spacing w:before="200" w:after="0"/>
      <w:outlineLvl w:val="1"/>
    </w:pPr>
    <w:rPr>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sz w:val="18"/>
      <w:szCs w:val="20"/>
      <w:lang w:val="en-US"/>
    </w:rPr>
  </w:style>
  <w:style w:type="paragraph" w:customStyle="1" w:styleId="List-2-numbered">
    <w:name w:val="List-2-numbered"/>
    <w:basedOn w:val="Normal"/>
    <w:rsid w:val="00D9416C"/>
    <w:pPr>
      <w:numPr>
        <w:numId w:val="3"/>
      </w:numPr>
      <w:spacing w:before="120" w:after="0" w:line="240" w:lineRule="auto"/>
      <w:ind w:left="510" w:hanging="170"/>
      <w:contextualSpacing/>
    </w:pPr>
    <w:rPr>
      <w:sz w:val="18"/>
    </w:rPr>
  </w:style>
  <w:style w:type="paragraph" w:customStyle="1" w:styleId="List-3-numbered">
    <w:name w:val="List-3-numbered"/>
    <w:basedOn w:val="Normal"/>
    <w:rsid w:val="00D9416C"/>
    <w:pPr>
      <w:tabs>
        <w:tab w:val="num" w:pos="720"/>
      </w:tabs>
      <w:spacing w:before="120" w:after="0" w:line="240" w:lineRule="auto"/>
      <w:ind w:left="510" w:hanging="170"/>
      <w:contextualSpacing/>
    </w:pPr>
    <w:rPr>
      <w:sz w:val="18"/>
    </w:rPr>
  </w:style>
  <w:style w:type="paragraph" w:customStyle="1" w:styleId="Legenda1">
    <w:name w:val="Legenda1"/>
    <w:basedOn w:val="Normal"/>
    <w:next w:val="Paragraph"/>
    <w:rsid w:val="00BE052B"/>
    <w:pPr>
      <w:spacing w:before="120" w:after="120" w:line="240" w:lineRule="auto"/>
      <w:jc w:val="center"/>
    </w:pPr>
    <w:rPr>
      <w:rFonts w:eastAsia="Arial Unicode MS"/>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style>
  <w:style w:type="paragraph" w:customStyle="1" w:styleId="List-numbered-bold">
    <w:name w:val="List-numbered-bold"/>
    <w:basedOn w:val="Normal"/>
    <w:qFormat/>
    <w:rsid w:val="003B1B33"/>
    <w:pPr>
      <w:spacing w:before="240" w:after="120" w:line="240" w:lineRule="auto"/>
    </w:pPr>
    <w:rPr>
      <w:b/>
      <w:szCs w:val="16"/>
      <w:lang w:val="en-US"/>
    </w:rPr>
  </w:style>
  <w:style w:type="paragraph" w:customStyle="1" w:styleId="List-1-numbered">
    <w:name w:val="List-1-numbered"/>
    <w:basedOn w:val="List-numbered-bold"/>
    <w:rsid w:val="00DA3B2E"/>
    <w:pPr>
      <w:tabs>
        <w:tab w:val="num" w:pos="720"/>
      </w:tabs>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pacing w:before="100" w:beforeAutospacing="1" w:after="100" w:afterAutospacing="1" w:line="240" w:lineRule="auto"/>
    </w:pPr>
    <w:rPr>
      <w:rFonts w:ascii="Times" w:eastAsia="MS Mincho" w:hAnsi="Times"/>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cred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credo.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dW2+NoMqCJBeGYR0MhiPdGdDA==">CgMxLjAyDmgua3drMGtvYWIxM3RuOABqKwoUc3VnZ2VzdC5weHR4ZjVza2UzYjASE01hxYJnb3J6YXRhIFN1ZGFja2FqKgoTc3VnZ2VzdC43ZnJ6eGExaG9vNBITTWHFgmdvcnphdGEgU3VkYWNrYWorChRzdWdnZXN0LjhheWUxaGJtZXBlcxITTWHFgmdvcnphdGEgU3VkYWNrYXIhMUk2UnRiTDBHQldKSmlEZUFNZC1FSHdFbWZicGs3VG1L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Pilipczuk</dc:creator>
  <cp:lastModifiedBy>Andrzej Kononowicz</cp:lastModifiedBy>
  <cp:revision>10</cp:revision>
  <dcterms:created xsi:type="dcterms:W3CDTF">2025-06-05T15:12:00Z</dcterms:created>
  <dcterms:modified xsi:type="dcterms:W3CDTF">2025-08-21T18:10:00Z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