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F6323C" w:rsidRDefault="006440B4" w14:paraId="3CD81803" wp14:textId="77777777">
      <w:pPr>
        <w:pBdr>
          <w:top w:val="nil"/>
          <w:left w:val="nil"/>
          <w:bottom w:val="nil"/>
          <w:right w:val="nil"/>
          <w:between w:val="nil"/>
        </w:pBdr>
        <w:spacing w:before="240" w:after="240"/>
        <w:jc w:val="center"/>
        <w:rPr>
          <w:b/>
          <w:color w:val="000000"/>
          <w:sz w:val="24"/>
          <w:szCs w:val="24"/>
        </w:rPr>
      </w:pPr>
      <w:r>
        <w:rPr>
          <w:b/>
          <w:color w:val="000000"/>
          <w:sz w:val="24"/>
          <w:szCs w:val="24"/>
        </w:rPr>
        <w:t>Isolating Somatic Variants</w:t>
      </w:r>
    </w:p>
    <w:p xmlns:wp14="http://schemas.microsoft.com/office/word/2010/wordml" w:rsidR="00F6323C" w:rsidP="22B1C2BC" w:rsidRDefault="006440B4" w14:paraId="78422C7B" wp14:textId="77777777">
      <w:pPr>
        <w:pBdr>
          <w:top w:val="nil" w:color="000000" w:sz="0" w:space="0"/>
          <w:left w:val="nil" w:color="000000" w:sz="0" w:space="0"/>
          <w:bottom w:val="nil" w:color="000000" w:sz="0" w:space="0"/>
          <w:right w:val="nil" w:color="000000" w:sz="0" w:space="0"/>
          <w:between w:val="nil" w:color="000000" w:sz="0" w:space="0"/>
        </w:pBdr>
        <w:spacing w:before="240" w:after="240"/>
        <w:jc w:val="center"/>
        <w:rPr>
          <w:color w:val="000000"/>
          <w:sz w:val="18"/>
          <w:szCs w:val="18"/>
          <w:lang w:val="en-US"/>
        </w:rPr>
      </w:pPr>
      <w:r w:rsidRPr="22B1C2BC" w:rsidR="22B1C2BC">
        <w:rPr>
          <w:color w:val="000000" w:themeColor="text1" w:themeTint="FF" w:themeShade="FF"/>
          <w:sz w:val="18"/>
          <w:szCs w:val="18"/>
          <w:lang w:val="en-US"/>
        </w:rPr>
        <w:t>Elżbieta Wierciak</w:t>
      </w:r>
    </w:p>
    <w:p xmlns:wp14="http://schemas.microsoft.com/office/word/2010/wordml" w:rsidR="00F6323C" w:rsidP="22B1C2BC" w:rsidRDefault="006440B4" w14:paraId="7E8EADC4"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jc w:val="center"/>
        <w:rPr>
          <w:color w:val="000000"/>
          <w:sz w:val="16"/>
          <w:szCs w:val="16"/>
          <w:lang w:val="en-US"/>
        </w:rPr>
      </w:pPr>
      <w:r w:rsidRPr="22B1C2BC" w:rsidR="22B1C2BC">
        <w:rPr>
          <w:i w:val="1"/>
          <w:iCs w:val="1"/>
          <w:color w:val="000000" w:themeColor="text1" w:themeTint="FF" w:themeShade="FF"/>
          <w:sz w:val="16"/>
          <w:szCs w:val="16"/>
          <w:lang w:val="en-US"/>
        </w:rPr>
        <w:t>AGH University of Science and Technology</w:t>
      </w:r>
      <w:r w:rsidRPr="22B1C2BC" w:rsidR="22B1C2BC">
        <w:rPr>
          <w:color w:val="000000" w:themeColor="text1" w:themeTint="FF" w:themeShade="FF"/>
          <w:sz w:val="16"/>
          <w:szCs w:val="16"/>
          <w:lang w:val="en-US"/>
        </w:rPr>
        <w:t xml:space="preserve">, al. Adama Mickiewicza 30, 30-059 Kraków, Poland </w:t>
      </w:r>
      <w:r>
        <w:br/>
      </w:r>
      <w:r w:rsidRPr="22B1C2BC" w:rsidR="22B1C2BC">
        <w:rPr>
          <w:color w:val="000000" w:themeColor="text1" w:themeTint="FF" w:themeShade="FF"/>
          <w:sz w:val="16"/>
          <w:szCs w:val="16"/>
          <w:lang w:val="en-US"/>
        </w:rPr>
        <w:t>{</w:t>
      </w:r>
      <w:r w:rsidRPr="22B1C2BC" w:rsidR="22B1C2BC">
        <w:rPr>
          <w:i w:val="1"/>
          <w:iCs w:val="1"/>
          <w:color w:val="000000" w:themeColor="text1" w:themeTint="FF" w:themeShade="FF"/>
          <w:sz w:val="16"/>
          <w:szCs w:val="16"/>
          <w:lang w:val="en-US"/>
        </w:rPr>
        <w:t>e.wierciak</w:t>
      </w:r>
      <w:r w:rsidRPr="22B1C2BC" w:rsidR="22B1C2BC">
        <w:rPr>
          <w:color w:val="000000" w:themeColor="text1" w:themeTint="FF" w:themeShade="FF"/>
          <w:sz w:val="16"/>
          <w:szCs w:val="16"/>
          <w:lang w:val="en-US"/>
        </w:rPr>
        <w:t>}@</w:t>
      </w:r>
      <w:r w:rsidRPr="22B1C2BC" w:rsidR="22B1C2BC">
        <w:rPr>
          <w:i w:val="1"/>
          <w:iCs w:val="1"/>
          <w:color w:val="000000" w:themeColor="text1" w:themeTint="FF" w:themeShade="FF"/>
          <w:sz w:val="16"/>
          <w:szCs w:val="16"/>
          <w:lang w:val="en-US"/>
        </w:rPr>
        <w:t>gmail.com</w:t>
      </w:r>
      <w:r>
        <w:br/>
      </w:r>
      <w:r>
        <w:br/>
      </w:r>
      <w:r w:rsidRPr="22B1C2BC" w:rsidR="22B1C2BC">
        <w:rPr>
          <w:b w:val="1"/>
          <w:bCs w:val="1"/>
          <w:color w:val="000000" w:themeColor="text1" w:themeTint="FF" w:themeShade="FF"/>
          <w:sz w:val="16"/>
          <w:szCs w:val="16"/>
          <w:lang w:val="en-US"/>
        </w:rPr>
        <w:t>Keywords</w:t>
      </w:r>
      <w:r w:rsidRPr="22B1C2BC" w:rsidR="22B1C2BC">
        <w:rPr>
          <w:color w:val="000000" w:themeColor="text1" w:themeTint="FF" w:themeShade="FF"/>
          <w:sz w:val="16"/>
          <w:szCs w:val="16"/>
          <w:lang w:val="en-US"/>
        </w:rPr>
        <w:t>: CLL, chronic lymphocytic leukemia, MBL, monoclonal B-cell lymphocytosis, scRNA-seq, single-cell RNA sequencing, computational medicine, bioinformatics</w:t>
      </w:r>
    </w:p>
    <w:p xmlns:wp14="http://schemas.microsoft.com/office/word/2010/wordml" w:rsidR="00F6323C" w:rsidRDefault="006440B4" w14:paraId="2635E364" wp14:textId="77777777">
      <w:pPr>
        <w:numPr>
          <w:ilvl w:val="0"/>
          <w:numId w:val="1"/>
        </w:numPr>
        <w:pBdr>
          <w:top w:val="nil"/>
          <w:left w:val="nil"/>
          <w:bottom w:val="nil"/>
          <w:right w:val="nil"/>
          <w:between w:val="nil"/>
        </w:pBdr>
        <w:spacing w:before="240" w:after="120" w:line="240" w:lineRule="auto"/>
        <w:ind w:left="227" w:hanging="227"/>
      </w:pPr>
      <w:r>
        <w:rPr>
          <w:b/>
          <w:color w:val="000000"/>
        </w:rPr>
        <w:t xml:space="preserve">Introduction </w:t>
      </w:r>
    </w:p>
    <w:p xmlns:wp14="http://schemas.microsoft.com/office/word/2010/wordml" w:rsidR="00F6323C" w:rsidP="22B1C2BC" w:rsidRDefault="006440B4" w14:paraId="48D369BF"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color w:val="000000"/>
          <w:sz w:val="18"/>
          <w:szCs w:val="18"/>
          <w:lang w:val="en-US"/>
        </w:rPr>
      </w:pPr>
      <w:r w:rsidRPr="22B1C2BC" w:rsidR="22B1C2BC">
        <w:rPr>
          <w:color w:val="000000" w:themeColor="text1" w:themeTint="FF" w:themeShade="FF"/>
          <w:sz w:val="18"/>
          <w:szCs w:val="18"/>
          <w:lang w:val="en-US"/>
        </w:rPr>
        <w:t xml:space="preserve">The development of data and computer science opens exciting avenues for personalized medicine and disease prevention.  An example of a disease that could be better understood with the support of computational methods is chronic lymphocytic leukemia (CLL) – the most commonly diagnosed blood cancer among European adults [1]. The exact cause of CLL is still unknown, but attempts to understand its genesis on a genetic level, as well as its connection to monoclonal B-cell lymphocytosis (MBL), have shown promise </w:t>
      </w:r>
      <w:r w:rsidRPr="22B1C2BC" w:rsidR="22B1C2BC">
        <w:rPr>
          <w:color w:val="000000" w:themeColor="text1" w:themeTint="FF" w:themeShade="FF"/>
          <w:sz w:val="18"/>
          <w:szCs w:val="18"/>
          <w:lang w:val="en-US"/>
        </w:rPr>
        <w:t>[2].</w:t>
      </w:r>
    </w:p>
    <w:p xmlns:wp14="http://schemas.microsoft.com/office/word/2010/wordml" w:rsidR="00F6323C" w:rsidRDefault="006440B4" w14:paraId="4E6C15D0" wp14:textId="77777777">
      <w:pPr>
        <w:numPr>
          <w:ilvl w:val="0"/>
          <w:numId w:val="1"/>
        </w:numPr>
        <w:pBdr>
          <w:top w:val="nil"/>
          <w:left w:val="nil"/>
          <w:bottom w:val="nil"/>
          <w:right w:val="nil"/>
          <w:between w:val="nil"/>
        </w:pBdr>
        <w:spacing w:before="240" w:after="120" w:line="240" w:lineRule="auto"/>
        <w:ind w:left="227" w:hanging="227"/>
        <w:rPr>
          <w:color w:val="000000"/>
        </w:rPr>
      </w:pPr>
      <w:r>
        <w:rPr>
          <w:b/>
          <w:color w:val="000000"/>
        </w:rPr>
        <w:t xml:space="preserve">Description of the problem </w:t>
      </w:r>
    </w:p>
    <w:p xmlns:wp14="http://schemas.microsoft.com/office/word/2010/wordml" w:rsidR="00F6323C" w:rsidP="22B1C2BC" w:rsidRDefault="006440B4" w14:paraId="3881919B"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color w:val="000000"/>
          <w:sz w:val="18"/>
          <w:szCs w:val="18"/>
          <w:lang w:val="en-US"/>
        </w:rPr>
      </w:pPr>
      <w:r w:rsidRPr="22B1C2BC" w:rsidR="22B1C2BC">
        <w:rPr>
          <w:color w:val="000000" w:themeColor="text1" w:themeTint="FF" w:themeShade="FF"/>
          <w:sz w:val="18"/>
          <w:szCs w:val="18"/>
          <w:lang w:val="en-US"/>
        </w:rPr>
        <w:t>Chronic lymphocytic leukemia affects B cells, causing them to multiply excessively and accumulate in the blood, bone marrow and lymphoid tissues, thus interfering with normal blood cell production and immune function [1]. Monoclonal B-cell lymphocytosis is a precursor condition to CLL characterized by the presence of small numbers of clonal B cells in the peripheral blood, but without the symptoms seen in full-blown leukemia [2]. In order to understand early CLL development, it is important to find out whet</w:t>
      </w:r>
      <w:r w:rsidRPr="22B1C2BC" w:rsidR="22B1C2BC">
        <w:rPr>
          <w:color w:val="000000" w:themeColor="text1" w:themeTint="FF" w:themeShade="FF"/>
          <w:sz w:val="18"/>
          <w:szCs w:val="18"/>
          <w:lang w:val="en-US"/>
        </w:rPr>
        <w:t xml:space="preserve">her MBL drives the premalignant expansion or the malignant progression of CLL. To answer this question, genetic data from healthy </w:t>
      </w:r>
      <w:r w:rsidRPr="22B1C2BC" w:rsidR="22B1C2BC">
        <w:rPr>
          <w:sz w:val="18"/>
          <w:szCs w:val="18"/>
          <w:lang w:val="en-US"/>
        </w:rPr>
        <w:t>subjects with MBL</w:t>
      </w:r>
      <w:r w:rsidRPr="22B1C2BC" w:rsidR="22B1C2BC">
        <w:rPr>
          <w:color w:val="000000" w:themeColor="text1" w:themeTint="FF" w:themeShade="FF"/>
          <w:sz w:val="18"/>
          <w:szCs w:val="18"/>
          <w:lang w:val="en-US"/>
        </w:rPr>
        <w:t xml:space="preserve"> was sequenced using the Illumina scRNA-seq method. For each subject, each cell was tagged according to the clone it belonged to. The aim was to compare the genetic sequence of expanded clones against cells that do not belong to expanded clones. In order to avoid detecting genetic changes that are the result of inter-individual variability, each studied expanded </w:t>
      </w:r>
      <w:r w:rsidRPr="22B1C2BC" w:rsidR="22B1C2BC">
        <w:rPr>
          <w:color w:val="000000" w:themeColor="text1" w:themeTint="FF" w:themeShade="FF"/>
          <w:sz w:val="18"/>
          <w:szCs w:val="18"/>
          <w:lang w:val="en-US"/>
        </w:rPr>
        <w:t xml:space="preserve">clone and the reference non-expanded set were </w:t>
      </w:r>
      <w:r w:rsidRPr="22B1C2BC" w:rsidR="22B1C2BC">
        <w:rPr>
          <w:sz w:val="18"/>
          <w:szCs w:val="18"/>
          <w:lang w:val="en-US"/>
        </w:rPr>
        <w:t>both</w:t>
      </w:r>
      <w:r w:rsidRPr="22B1C2BC" w:rsidR="22B1C2BC">
        <w:rPr>
          <w:color w:val="000000" w:themeColor="text1" w:themeTint="FF" w:themeShade="FF"/>
          <w:sz w:val="18"/>
          <w:szCs w:val="18"/>
          <w:lang w:val="en-US"/>
        </w:rPr>
        <w:t xml:space="preserve"> sourced from the same individual.</w:t>
      </w:r>
    </w:p>
    <w:p xmlns:wp14="http://schemas.microsoft.com/office/word/2010/wordml" w:rsidR="00F6323C" w:rsidRDefault="006440B4" w14:paraId="4183E8D9" wp14:textId="77777777">
      <w:pPr>
        <w:numPr>
          <w:ilvl w:val="0"/>
          <w:numId w:val="1"/>
        </w:numPr>
        <w:pBdr>
          <w:top w:val="nil"/>
          <w:left w:val="nil"/>
          <w:bottom w:val="nil"/>
          <w:right w:val="nil"/>
          <w:between w:val="nil"/>
        </w:pBdr>
        <w:spacing w:before="240" w:after="120" w:line="240" w:lineRule="auto"/>
        <w:ind w:left="227" w:hanging="227"/>
      </w:pPr>
      <w:r>
        <w:rPr>
          <w:b/>
          <w:color w:val="000000"/>
        </w:rPr>
        <w:t xml:space="preserve">Related work </w:t>
      </w:r>
    </w:p>
    <w:p xmlns:wp14="http://schemas.microsoft.com/office/word/2010/wordml" w:rsidR="00F6323C" w:rsidP="22B1C2BC" w:rsidRDefault="006440B4" w14:paraId="3B1C7755" wp14:textId="77777777">
      <w:pPr>
        <w:spacing w:after="0" w:line="240" w:lineRule="auto"/>
        <w:jc w:val="both"/>
        <w:rPr>
          <w:sz w:val="18"/>
          <w:szCs w:val="18"/>
          <w:lang w:val="en-US"/>
        </w:rPr>
      </w:pPr>
      <w:r w:rsidRPr="22B1C2BC" w:rsidR="22B1C2BC">
        <w:rPr>
          <w:sz w:val="18"/>
          <w:szCs w:val="18"/>
          <w:lang w:val="en-US"/>
        </w:rPr>
        <w:t>A series of research that sparked the idea for this project was focusing on autonomous B-cell receptor signaling (BCR signaling) [3][4]. In this work it was shown that autonomous BCR signaling operates in MBL analogously to CLL. Subclonal genetic CLL driver mutations in MBL have also been observed [5], which would support the idea of gradual clonal expansion driven by moderate autonomous BCR signaling, potentially resulting in a level of genetic instability that facilitates graduate acquisition of CLL drive</w:t>
      </w:r>
      <w:r w:rsidRPr="22B1C2BC" w:rsidR="22B1C2BC">
        <w:rPr>
          <w:sz w:val="18"/>
          <w:szCs w:val="18"/>
          <w:lang w:val="en-US"/>
        </w:rPr>
        <w:t>r mutations.</w:t>
      </w:r>
    </w:p>
    <w:p xmlns:wp14="http://schemas.microsoft.com/office/word/2010/wordml" w:rsidR="00F6323C" w:rsidRDefault="006440B4" w14:paraId="1B2B7735" wp14:textId="77777777">
      <w:pPr>
        <w:numPr>
          <w:ilvl w:val="0"/>
          <w:numId w:val="1"/>
        </w:numPr>
        <w:pBdr>
          <w:top w:val="nil"/>
          <w:left w:val="nil"/>
          <w:bottom w:val="nil"/>
          <w:right w:val="nil"/>
          <w:between w:val="nil"/>
        </w:pBdr>
        <w:spacing w:before="240" w:after="120" w:line="240" w:lineRule="auto"/>
        <w:ind w:left="227" w:hanging="227"/>
        <w:rPr>
          <w:color w:val="000000"/>
        </w:rPr>
      </w:pPr>
      <w:r>
        <w:rPr>
          <w:b/>
          <w:color w:val="000000"/>
        </w:rPr>
        <w:t>Solution to the problem</w:t>
      </w:r>
    </w:p>
    <w:p xmlns:wp14="http://schemas.microsoft.com/office/word/2010/wordml" w:rsidR="00F6323C" w:rsidP="22B1C2BC" w:rsidRDefault="006440B4" w14:paraId="0C28B945"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color w:val="000000"/>
          <w:sz w:val="18"/>
          <w:szCs w:val="18"/>
          <w:lang w:val="en-US"/>
        </w:rPr>
      </w:pPr>
      <w:r w:rsidRPr="22B1C2BC" w:rsidR="22B1C2BC">
        <w:rPr>
          <w:color w:val="000000" w:themeColor="text1" w:themeTint="FF" w:themeShade="FF"/>
          <w:sz w:val="18"/>
          <w:szCs w:val="18"/>
          <w:lang w:val="en-US"/>
        </w:rPr>
        <w:t>Thanks to Cyfronet HPC resources and Leiden University Medical Centre, the scRNA-seq data was made available for analysis. Several methods of somatic variant detection were proposed and compared</w:t>
      </w:r>
      <w:r w:rsidRPr="22B1C2BC" w:rsidR="22B1C2BC">
        <w:rPr>
          <w:sz w:val="18"/>
          <w:szCs w:val="18"/>
          <w:lang w:val="en-US"/>
        </w:rPr>
        <w:t xml:space="preserve">, then </w:t>
      </w:r>
      <w:r w:rsidRPr="22B1C2BC" w:rsidR="22B1C2BC">
        <w:rPr>
          <w:color w:val="000000" w:themeColor="text1" w:themeTint="FF" w:themeShade="FF"/>
          <w:sz w:val="18"/>
          <w:szCs w:val="18"/>
          <w:lang w:val="en-US"/>
        </w:rPr>
        <w:t xml:space="preserve">the best one selected. It involved creating a germline and expanded set count table, with the information for each position how many of each nucleotide were detected for both sets. Next a statistical test was carried  out to determine </w:t>
      </w:r>
      <w:r w:rsidRPr="22B1C2BC" w:rsidR="22B1C2BC">
        <w:rPr>
          <w:sz w:val="18"/>
          <w:szCs w:val="18"/>
          <w:lang w:val="en-US"/>
        </w:rPr>
        <w:t>what zygosity type</w:t>
      </w:r>
      <w:r w:rsidRPr="22B1C2BC" w:rsidR="22B1C2BC">
        <w:rPr>
          <w:color w:val="000000" w:themeColor="text1" w:themeTint="FF" w:themeShade="FF"/>
          <w:sz w:val="18"/>
          <w:szCs w:val="18"/>
          <w:lang w:val="en-US"/>
        </w:rPr>
        <w:t xml:space="preserve"> each position in each set </w:t>
      </w:r>
      <w:r w:rsidRPr="22B1C2BC" w:rsidR="22B1C2BC">
        <w:rPr>
          <w:sz w:val="18"/>
          <w:szCs w:val="18"/>
          <w:lang w:val="en-US"/>
        </w:rPr>
        <w:t>had</w:t>
      </w:r>
      <w:r w:rsidRPr="22B1C2BC" w:rsidR="22B1C2BC">
        <w:rPr>
          <w:color w:val="000000" w:themeColor="text1" w:themeTint="FF" w:themeShade="FF"/>
          <w:sz w:val="18"/>
          <w:szCs w:val="18"/>
          <w:lang w:val="en-US"/>
        </w:rPr>
        <w:t xml:space="preserve">. </w:t>
      </w:r>
      <w:r w:rsidRPr="22B1C2BC" w:rsidR="22B1C2BC">
        <w:rPr>
          <w:sz w:val="18"/>
          <w:szCs w:val="18"/>
          <w:lang w:val="en-US"/>
        </w:rPr>
        <w:t>It was tested whether the observed alternative reads can be explained by sequencing error (a fixed 5% error rate was assumed) or by a somatic variant, using a binomial likelihood. The GQ score was then used to measure th</w:t>
      </w:r>
      <w:r w:rsidRPr="22B1C2BC" w:rsidR="22B1C2BC">
        <w:rPr>
          <w:sz w:val="18"/>
          <w:szCs w:val="18"/>
          <w:lang w:val="en-US"/>
        </w:rPr>
        <w:t>e confidence with which the data supports the somatic variant hypothesis [5][6].</w:t>
      </w:r>
    </w:p>
    <w:p xmlns:wp14="http://schemas.microsoft.com/office/word/2010/wordml" w:rsidR="00F6323C" w:rsidRDefault="00F6323C" w14:paraId="672A6659" wp14:textId="77777777">
      <w:pPr>
        <w:pBdr>
          <w:top w:val="nil"/>
          <w:left w:val="nil"/>
          <w:bottom w:val="nil"/>
          <w:right w:val="nil"/>
          <w:between w:val="nil"/>
        </w:pBdr>
        <w:spacing w:after="0" w:line="240" w:lineRule="auto"/>
        <w:jc w:val="both"/>
        <w:rPr>
          <w:color w:val="000000"/>
          <w:sz w:val="18"/>
          <w:szCs w:val="18"/>
        </w:rPr>
      </w:pPr>
    </w:p>
    <w:p xmlns:wp14="http://schemas.microsoft.com/office/word/2010/wordml" w:rsidR="00F6323C" w:rsidRDefault="006440B4" w14:paraId="0A37501D" wp14:textId="77777777">
      <w:pPr>
        <w:spacing w:after="0" w:line="240" w:lineRule="auto"/>
        <w:jc w:val="center"/>
        <w:rPr>
          <w:color w:val="000000"/>
          <w:sz w:val="18"/>
          <w:szCs w:val="18"/>
        </w:rPr>
      </w:pPr>
      <w:r>
        <w:rPr>
          <w:noProof/>
          <w:sz w:val="18"/>
          <w:szCs w:val="18"/>
        </w:rPr>
        <w:drawing>
          <wp:inline xmlns:wp14="http://schemas.microsoft.com/office/word/2010/wordprocessingDrawing" distT="114300" distB="114300" distL="114300" distR="114300" wp14:anchorId="2C36B238" wp14:editId="7777777">
            <wp:extent cx="4299585" cy="851479"/>
            <wp:effectExtent l="0" t="0" r="0" b="0"/>
            <wp:docPr id="1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225" t="5900"/>
                    <a:stretch>
                      <a:fillRect/>
                    </a:stretch>
                  </pic:blipFill>
                  <pic:spPr>
                    <a:xfrm>
                      <a:off x="0" y="0"/>
                      <a:ext cx="4299585" cy="851479"/>
                    </a:xfrm>
                    <a:prstGeom prst="rect">
                      <a:avLst/>
                    </a:prstGeom>
                    <a:ln/>
                  </pic:spPr>
                </pic:pic>
              </a:graphicData>
            </a:graphic>
          </wp:inline>
        </w:drawing>
      </w:r>
    </w:p>
    <w:p xmlns:wp14="http://schemas.microsoft.com/office/word/2010/wordml" w:rsidR="00F6323C" w:rsidRDefault="00F6323C" w14:paraId="5DAB6C7B" wp14:textId="77777777">
      <w:pPr>
        <w:pBdr>
          <w:top w:val="nil"/>
          <w:left w:val="nil"/>
          <w:bottom w:val="nil"/>
          <w:right w:val="nil"/>
          <w:between w:val="nil"/>
        </w:pBdr>
        <w:spacing w:after="0" w:line="240" w:lineRule="auto"/>
        <w:jc w:val="both"/>
        <w:rPr>
          <w:b/>
          <w:color w:val="000000"/>
          <w:sz w:val="16"/>
          <w:szCs w:val="16"/>
        </w:rPr>
      </w:pPr>
    </w:p>
    <w:p xmlns:wp14="http://schemas.microsoft.com/office/word/2010/wordml" w:rsidR="00F6323C" w:rsidRDefault="006440B4" w14:paraId="299C29C4" wp14:textId="77777777">
      <w:pPr>
        <w:pBdr>
          <w:top w:val="nil"/>
          <w:left w:val="nil"/>
          <w:bottom w:val="nil"/>
          <w:right w:val="nil"/>
          <w:between w:val="nil"/>
        </w:pBdr>
        <w:spacing w:after="0" w:line="240" w:lineRule="auto"/>
        <w:jc w:val="center"/>
        <w:rPr>
          <w:color w:val="000000"/>
          <w:sz w:val="16"/>
          <w:szCs w:val="16"/>
        </w:rPr>
      </w:pPr>
      <w:r>
        <w:rPr>
          <w:b/>
          <w:color w:val="000000"/>
          <w:sz w:val="16"/>
          <w:szCs w:val="16"/>
        </w:rPr>
        <w:t xml:space="preserve">Fig.1. </w:t>
      </w:r>
      <w:r>
        <w:rPr>
          <w:sz w:val="16"/>
          <w:szCs w:val="16"/>
        </w:rPr>
        <w:t>Diagram of the evaluation procedure</w:t>
      </w:r>
    </w:p>
    <w:p xmlns:wp14="http://schemas.microsoft.com/office/word/2010/wordml" w:rsidR="00F6323C" w:rsidRDefault="006440B4" w14:paraId="620246B5" wp14:textId="77777777">
      <w:pPr>
        <w:numPr>
          <w:ilvl w:val="0"/>
          <w:numId w:val="1"/>
        </w:numPr>
        <w:pBdr>
          <w:top w:val="nil"/>
          <w:left w:val="nil"/>
          <w:bottom w:val="nil"/>
          <w:right w:val="nil"/>
          <w:between w:val="nil"/>
        </w:pBdr>
        <w:spacing w:before="240" w:after="120" w:line="240" w:lineRule="auto"/>
        <w:ind w:left="227" w:hanging="227"/>
        <w:rPr>
          <w:color w:val="000000"/>
        </w:rPr>
      </w:pPr>
      <w:r>
        <w:rPr>
          <w:b/>
          <w:color w:val="000000"/>
        </w:rPr>
        <w:t>Conclusions and future work</w:t>
      </w:r>
    </w:p>
    <w:p xmlns:wp14="http://schemas.microsoft.com/office/word/2010/wordml" w:rsidR="00F6323C" w:rsidP="22B1C2BC" w:rsidRDefault="006440B4" w14:paraId="0C047060"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color w:val="000000"/>
          <w:sz w:val="18"/>
          <w:szCs w:val="18"/>
          <w:lang w:val="en-US"/>
        </w:rPr>
      </w:pPr>
      <w:r w:rsidRPr="22B1C2BC" w:rsidR="22B1C2BC">
        <w:rPr>
          <w:color w:val="000000" w:themeColor="text1" w:themeTint="FF" w:themeShade="FF"/>
          <w:sz w:val="18"/>
          <w:szCs w:val="18"/>
          <w:lang w:val="en-US"/>
        </w:rPr>
        <w:t xml:space="preserve">Several interesting somatic variant detection approaches were proposed for this problem based on previous similar work. Most genetic changes detected were losses of heterozygosity, and </w:t>
      </w:r>
      <w:r w:rsidRPr="22B1C2BC" w:rsidR="22B1C2BC">
        <w:rPr>
          <w:sz w:val="18"/>
          <w:szCs w:val="18"/>
          <w:lang w:val="en-US"/>
        </w:rPr>
        <w:t xml:space="preserve">several SNPs </w:t>
      </w:r>
      <w:r w:rsidRPr="22B1C2BC" w:rsidR="22B1C2BC">
        <w:rPr>
          <w:color w:val="000000" w:themeColor="text1" w:themeTint="FF" w:themeShade="FF"/>
          <w:sz w:val="18"/>
          <w:szCs w:val="18"/>
          <w:lang w:val="en-US"/>
        </w:rPr>
        <w:t xml:space="preserve">were also detected. Insertions and deletions were beyond the scope of this work. Consultations with an immunologist are in progress to determine the impact of each of the detected somatic variants. </w:t>
      </w:r>
    </w:p>
    <w:p xmlns:wp14="http://schemas.microsoft.com/office/word/2010/wordml" w:rsidR="00F6323C" w:rsidP="22B1C2BC" w:rsidRDefault="006440B4" w14:paraId="70D9DFFB" wp14:textId="77777777">
      <w:pPr>
        <w:pBdr>
          <w:top w:val="nil" w:color="000000" w:sz="0" w:space="0"/>
          <w:left w:val="nil" w:color="000000" w:sz="0" w:space="0"/>
          <w:bottom w:val="nil" w:color="000000" w:sz="0" w:space="0"/>
          <w:right w:val="nil" w:color="000000" w:sz="0" w:space="0"/>
          <w:between w:val="nil" w:color="000000" w:sz="0" w:space="0"/>
        </w:pBdr>
        <w:spacing w:before="240" w:after="120" w:line="240" w:lineRule="auto"/>
        <w:jc w:val="both"/>
        <w:rPr>
          <w:color w:val="000000"/>
          <w:sz w:val="18"/>
          <w:szCs w:val="18"/>
          <w:lang w:val="en-US"/>
        </w:rPr>
      </w:pPr>
      <w:r w:rsidRPr="22B1C2BC" w:rsidR="22B1C2BC">
        <w:rPr>
          <w:b w:val="1"/>
          <w:bCs w:val="1"/>
          <w:color w:val="000000" w:themeColor="text1" w:themeTint="FF" w:themeShade="FF"/>
          <w:sz w:val="18"/>
          <w:szCs w:val="18"/>
          <w:lang w:val="en-US"/>
        </w:rPr>
        <w:t xml:space="preserve">Acknowledgements. </w:t>
      </w:r>
      <w:r w:rsidRPr="22B1C2BC" w:rsidR="22B1C2BC">
        <w:rPr>
          <w:color w:val="000000" w:themeColor="text1" w:themeTint="FF" w:themeShade="FF"/>
          <w:sz w:val="18"/>
          <w:szCs w:val="18"/>
          <w:lang w:val="en-US"/>
        </w:rPr>
        <w:t xml:space="preserve">I am thankful for help and support from </w:t>
      </w:r>
      <w:r w:rsidRPr="22B1C2BC" w:rsidR="22B1C2BC">
        <w:rPr>
          <w:sz w:val="18"/>
          <w:szCs w:val="18"/>
          <w:lang w:val="en-US"/>
        </w:rPr>
        <w:t>Leiden University Medical Center and their representatives, dr. Cornelis Van Bergen and dr. Szymon Kiełbasa, for the time and effort they spent sharing their expertise with me. I would also like to extend my sincerest thanks to my thesis supervisor prof. Marek Kisiel-Dorohinicki and my research supervisor Katarzyna Jurkowska for their support in this project. In addition, I am grateful to Polish high-performance computing infrastructure PLGrid for awarding this projec</w:t>
      </w:r>
      <w:r w:rsidRPr="22B1C2BC" w:rsidR="22B1C2BC">
        <w:rPr>
          <w:sz w:val="18"/>
          <w:szCs w:val="18"/>
          <w:lang w:val="en-US"/>
        </w:rPr>
        <w:t>t access to the LUMI supercomputer, owned by the EuroHPC Joint Undertaking, hosted by CSC (Finland) and the LUMI consortium through grant plgaghlumc2025.</w:t>
      </w:r>
      <w:r w:rsidRPr="22B1C2BC" w:rsidR="22B1C2BC">
        <w:rPr>
          <w:color w:val="000000" w:themeColor="text1" w:themeTint="FF" w:themeShade="FF"/>
          <w:sz w:val="18"/>
          <w:szCs w:val="18"/>
          <w:lang w:val="en-US"/>
        </w:rPr>
        <w:t xml:space="preserve"> </w:t>
      </w:r>
    </w:p>
    <w:p xmlns:wp14="http://schemas.microsoft.com/office/word/2010/wordml" w:rsidR="00F6323C" w:rsidRDefault="006440B4" w14:paraId="071E4E01" wp14:textId="77777777">
      <w:pPr>
        <w:pBdr>
          <w:top w:val="nil"/>
          <w:left w:val="nil"/>
          <w:bottom w:val="nil"/>
          <w:right w:val="nil"/>
          <w:between w:val="nil"/>
        </w:pBdr>
        <w:spacing w:before="240" w:after="120" w:line="240" w:lineRule="auto"/>
        <w:ind w:left="227" w:hanging="227"/>
        <w:rPr>
          <w:b/>
          <w:color w:val="000000"/>
        </w:rPr>
      </w:pPr>
      <w:r>
        <w:rPr>
          <w:b/>
          <w:color w:val="000000"/>
        </w:rPr>
        <w:t>References</w:t>
      </w:r>
    </w:p>
    <w:p xmlns:wp14="http://schemas.microsoft.com/office/word/2010/wordml" w:rsidR="00F6323C" w:rsidP="22B1C2BC" w:rsidRDefault="006440B4" w14:paraId="2ED560E0" wp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ind w:left="340" w:hanging="170"/>
        <w:rPr>
          <w:color w:val="000000"/>
          <w:sz w:val="16"/>
          <w:szCs w:val="16"/>
          <w:lang w:val="en-US"/>
        </w:rPr>
      </w:pPr>
      <w:r w:rsidRPr="22B1C2BC" w:rsidR="22B1C2BC">
        <w:rPr>
          <w:sz w:val="16"/>
          <w:szCs w:val="16"/>
          <w:lang w:val="en-US"/>
        </w:rPr>
        <w:t xml:space="preserve">Julio Delgado Ferran Nadeu D.C., Campo E.: </w:t>
      </w:r>
      <w:r w:rsidRPr="22B1C2BC" w:rsidR="22B1C2BC">
        <w:rPr>
          <w:i w:val="1"/>
          <w:iCs w:val="1"/>
          <w:sz w:val="16"/>
          <w:szCs w:val="16"/>
          <w:lang w:val="en-US"/>
        </w:rPr>
        <w:t>Chronic lymphocytic leukemia: from molecular pathogenesis to novel therapeutic strategies</w:t>
      </w:r>
      <w:r w:rsidRPr="22B1C2BC" w:rsidR="22B1C2BC">
        <w:rPr>
          <w:sz w:val="16"/>
          <w:szCs w:val="16"/>
          <w:lang w:val="en-US"/>
        </w:rPr>
        <w:t>. In: Haematologica, vol. 105(9), pp. 2205–2217, 2020. URL https://pmc.ncbi.nlm.nih.gov/articles/PMC7556519/pdf/1052205.pdf.</w:t>
      </w:r>
    </w:p>
    <w:p xmlns:wp14="http://schemas.microsoft.com/office/word/2010/wordml" w:rsidR="00F6323C" w:rsidP="22B1C2BC" w:rsidRDefault="006440B4" w14:paraId="798E8862" wp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ind w:left="340" w:hanging="170"/>
        <w:rPr>
          <w:color w:val="000000"/>
          <w:sz w:val="16"/>
          <w:szCs w:val="16"/>
          <w:lang w:val="en-US"/>
        </w:rPr>
      </w:pPr>
      <w:r w:rsidRPr="22B1C2BC" w:rsidR="22B1C2BC">
        <w:rPr>
          <w:sz w:val="16"/>
          <w:szCs w:val="16"/>
          <w:lang w:val="en-US"/>
        </w:rPr>
        <w:t>Rawstron A.C., Bennett F.L., O’Connor S.J.M., Kwok M., Fenton J.A.L., Plummer M., de Tute R.M., Owen R.G., Richards S.J., Jack A.S., Hillmen P.: Monoclonal B-cell lymphocytosis and chronic lymphocytic leukemia. In: New England Journal of Medicine, vol. 359(6), pp. 575–583, 2008. URL http://dx.doi.org/10.1056/NEJMoa075290.</w:t>
      </w:r>
    </w:p>
    <w:p xmlns:wp14="http://schemas.microsoft.com/office/word/2010/wordml" w:rsidR="00F6323C" w:rsidP="22B1C2BC" w:rsidRDefault="006440B4" w14:paraId="2B456713" wp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ind w:left="340" w:hanging="170"/>
        <w:rPr>
          <w:color w:val="000000"/>
          <w:sz w:val="16"/>
          <w:szCs w:val="16"/>
          <w:lang w:val="en-US"/>
        </w:rPr>
      </w:pPr>
      <w:r w:rsidRPr="22B1C2BC" w:rsidR="22B1C2BC">
        <w:rPr>
          <w:sz w:val="16"/>
          <w:szCs w:val="16"/>
          <w:lang w:val="en-US"/>
        </w:rPr>
        <w:t xml:space="preserve">Quinten E, Sepúlveda-Yáñez JH, Koning MT, Eken JA, Pfeifer D, Nteleah V, de Groen RAL, Saravia DA, Knijnenburg J, Stuivenberg-Bleijswijk HE, Pantic M, Agathangelidis A, Keppler-Hafkemeyer A, van Bergen CAM, Uribe-Paredes R, Stamatopoulos K, Vermaat JS, Zirlik K, Navarrete MA, Jumaa H, Veelken H. Autonomous B-cell receptor signaling and genetic aberrations in chronic lymphocytic leukemia-phenotype monoclonal B lymphocytosis in siblings of patients with chronic lymphocytic leukemia. </w:t>
      </w:r>
      <w:r w:rsidRPr="22B1C2BC" w:rsidR="22B1C2BC">
        <w:rPr>
          <w:i w:val="1"/>
          <w:iCs w:val="1"/>
          <w:sz w:val="16"/>
          <w:szCs w:val="16"/>
          <w:lang w:val="en-US"/>
        </w:rPr>
        <w:t>Haematologica.</w:t>
      </w:r>
      <w:r w:rsidRPr="22B1C2BC" w:rsidR="22B1C2BC">
        <w:rPr>
          <w:sz w:val="16"/>
          <w:szCs w:val="16"/>
          <w:lang w:val="en-US"/>
        </w:rPr>
        <w:t xml:space="preserve"> 2024;109(3):824–834. doi:10.3324/haematol.2022.282542.</w:t>
      </w:r>
    </w:p>
    <w:p xmlns:wp14="http://schemas.microsoft.com/office/word/2010/wordml" w:rsidR="00F6323C" w:rsidP="22B1C2BC" w:rsidRDefault="006440B4" w14:paraId="20F43CA3" wp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ind w:left="340" w:hanging="170"/>
        <w:rPr>
          <w:color w:val="000000"/>
          <w:sz w:val="16"/>
          <w:szCs w:val="16"/>
          <w:lang w:val="en-US"/>
        </w:rPr>
      </w:pPr>
      <w:r w:rsidRPr="22B1C2BC" w:rsidR="22B1C2BC">
        <w:rPr>
          <w:sz w:val="16"/>
          <w:szCs w:val="16"/>
          <w:lang w:val="en-US"/>
        </w:rPr>
        <w:t>Burger J.A., Chiorazzi N.: B cell receptor signaling in chronic lymphocytic leukemia. In: Trends in Immunology, vol. 34(12), pp. 592–601, 2013. URL http://dx.doi.org/10.1016/j.it.2013.06.006.</w:t>
      </w:r>
    </w:p>
    <w:p xmlns:wp14="http://schemas.microsoft.com/office/word/2010/wordml" w:rsidR="00F6323C" w:rsidP="22B1C2BC" w:rsidRDefault="006440B4" w14:paraId="22870CD4" wp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ind w:left="340" w:hanging="170"/>
        <w:rPr>
          <w:color w:val="000000"/>
          <w:sz w:val="16"/>
          <w:szCs w:val="16"/>
          <w:lang w:val="en-US"/>
        </w:rPr>
      </w:pPr>
      <w:r w:rsidRPr="22B1C2BC" w:rsidR="22B1C2BC">
        <w:rPr>
          <w:sz w:val="16"/>
          <w:szCs w:val="16"/>
          <w:lang w:val="en-US"/>
        </w:rPr>
        <w:t>Li, H. (2011)</w:t>
      </w:r>
      <w:r w:rsidRPr="22B1C2BC" w:rsidR="22B1C2BC">
        <w:rPr>
          <w:b w:val="1"/>
          <w:bCs w:val="1"/>
          <w:sz w:val="16"/>
          <w:szCs w:val="16"/>
          <w:lang w:val="en-US"/>
        </w:rPr>
        <w:t>.</w:t>
      </w:r>
      <w:r w:rsidRPr="22B1C2BC" w:rsidR="22B1C2BC">
        <w:rPr>
          <w:sz w:val="16"/>
          <w:szCs w:val="16"/>
          <w:lang w:val="en-US"/>
        </w:rPr>
        <w:t xml:space="preserve"> </w:t>
      </w:r>
      <w:r w:rsidRPr="22B1C2BC" w:rsidR="22B1C2BC">
        <w:rPr>
          <w:i w:val="1"/>
          <w:iCs w:val="1"/>
          <w:sz w:val="16"/>
          <w:szCs w:val="16"/>
          <w:lang w:val="en-US"/>
        </w:rPr>
        <w:t>A statistical framework for SNP calling, mutation discovery, association mapping and population genetical parameter estimation from sequencing data.</w:t>
      </w:r>
      <w:r w:rsidRPr="22B1C2BC" w:rsidR="22B1C2BC">
        <w:rPr>
          <w:sz w:val="16"/>
          <w:szCs w:val="16"/>
          <w:lang w:val="en-US"/>
        </w:rPr>
        <w:t xml:space="preserve"> Bioinformatics, 27(21), 2987–2993.</w:t>
      </w:r>
    </w:p>
    <w:p xmlns:wp14="http://schemas.microsoft.com/office/word/2010/wordml" w:rsidR="00F6323C" w:rsidP="22B1C2BC" w:rsidRDefault="006440B4" w14:paraId="27DD04BC" wp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ind w:left="340" w:hanging="170"/>
        <w:rPr>
          <w:color w:val="000000"/>
          <w:sz w:val="16"/>
          <w:szCs w:val="16"/>
          <w:lang w:val="en-US"/>
        </w:rPr>
      </w:pPr>
      <w:r w:rsidRPr="22B1C2BC" w:rsidR="22B1C2BC">
        <w:rPr>
          <w:sz w:val="16"/>
          <w:szCs w:val="16"/>
          <w:lang w:val="en-US"/>
        </w:rPr>
        <w:t>DePristo, M. A., et al. (2011). A framework for variation discovery and genotyping using next-generation DNA sequencing data. Nature Genetics, 43(5), 491–498.</w:t>
      </w:r>
    </w:p>
    <w:p xmlns:wp14="http://schemas.microsoft.com/office/word/2010/wordml" w:rsidR="00F6323C" w:rsidRDefault="00F6323C" w14:paraId="02EB378F" wp14:textId="77777777">
      <w:pPr>
        <w:pBdr>
          <w:top w:val="nil"/>
          <w:left w:val="nil"/>
          <w:bottom w:val="nil"/>
          <w:right w:val="nil"/>
          <w:between w:val="nil"/>
        </w:pBdr>
        <w:spacing w:after="0" w:line="240" w:lineRule="auto"/>
        <w:rPr>
          <w:sz w:val="16"/>
          <w:szCs w:val="16"/>
        </w:rPr>
      </w:pPr>
    </w:p>
    <w:sectPr w:rsidR="00F6323C">
      <w:footerReference w:type="even" r:id="rId9"/>
      <w:pgSz w:w="9242" w:h="13438" w:orient="portrait"/>
      <w:pgMar w:top="1191" w:right="1191" w:bottom="1191" w:left="1191"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6440B4" w:rsidRDefault="006440B4" w14:paraId="6A05A809" wp14:textId="77777777">
      <w:pPr>
        <w:spacing w:after="0" w:line="240" w:lineRule="auto"/>
      </w:pPr>
      <w:r>
        <w:separator/>
      </w:r>
    </w:p>
  </w:endnote>
  <w:endnote w:type="continuationSeparator" w:id="0">
    <w:p xmlns:wp14="http://schemas.microsoft.com/office/word/2010/wordml" w:rsidR="006440B4" w:rsidRDefault="006440B4"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F6323C" w:rsidRDefault="006440B4" w14:paraId="5A5D9EA8" wp14:textId="77777777">
    <w:pPr>
      <w:rPr>
        <w:sz w:val="18"/>
        <w:szCs w:val="18"/>
      </w:rPr>
    </w:pPr>
    <w:r>
      <w:rPr>
        <w:sz w:val="18"/>
        <w:szCs w:val="18"/>
      </w:rPr>
      <w:tab/>
    </w:r>
    <w:r>
      <w:rPr>
        <w:sz w:val="18"/>
        <w:szCs w:val="18"/>
      </w:rPr>
      <w:t xml:space="preserve">                                                                       CGW 2013   </w:t>
    </w:r>
    <w:r>
      <w:rPr>
        <w:sz w:val="18"/>
        <w:szCs w:val="18"/>
      </w:rPr>
      <w:tab/>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6440B4" w:rsidRDefault="006440B4" w14:paraId="41C8F396" wp14:textId="77777777">
      <w:pPr>
        <w:spacing w:after="0" w:line="240" w:lineRule="auto"/>
      </w:pPr>
      <w:r>
        <w:separator/>
      </w:r>
    </w:p>
  </w:footnote>
  <w:footnote w:type="continuationSeparator" w:id="0">
    <w:p xmlns:wp14="http://schemas.microsoft.com/office/word/2010/wordml" w:rsidR="006440B4" w:rsidRDefault="006440B4" w14:paraId="72A3D3E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430B7"/>
    <w:multiLevelType w:val="multilevel"/>
    <w:tmpl w:val="FFFFFFFF"/>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 w15:restartNumberingAfterBreak="0">
    <w:nsid w:val="1CC0197C"/>
    <w:multiLevelType w:val="multilevel"/>
    <w:tmpl w:val="FFFFFFFF"/>
    <w:lvl w:ilvl="0">
      <w:start w:val="1"/>
      <w:numFmt w:val="decimal"/>
      <w:pStyle w:val="List-bulleted"/>
      <w:lvlText w:val="%1."/>
      <w:lvlJc w:val="left"/>
      <w:pPr>
        <w:ind w:left="720" w:hanging="360"/>
      </w:pPr>
      <w:rPr>
        <w:b/>
      </w:rPr>
    </w:lvl>
    <w:lvl w:ilvl="1">
      <w:start w:val="1"/>
      <w:numFmt w:val="bullet"/>
      <w:lvlText w:val="•"/>
      <w:lvlJc w:val="left"/>
      <w:pPr>
        <w:ind w:left="1440" w:hanging="360"/>
      </w:pPr>
      <w:rPr>
        <w:rFonts w:ascii="Times New Roman" w:hAnsi="Times New Roman"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390719"/>
    <w:multiLevelType w:val="multilevel"/>
    <w:tmpl w:val="FFFFFFFF"/>
    <w:lvl w:ilvl="0">
      <w:start w:val="1"/>
      <w:numFmt w:val="decimal"/>
      <w:pStyle w:val="List-2-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15763476">
    <w:abstractNumId w:val="1"/>
  </w:num>
  <w:num w:numId="2" w16cid:durableId="613246500">
    <w:abstractNumId w:val="0"/>
  </w:num>
  <w:num w:numId="3" w16cid:durableId="1841002662">
    <w:abstractNumId w:val="2"/>
  </w:num>
  <w:num w:numId="4" w16cid:durableId="1211380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9825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3C"/>
    <w:rsid w:val="003F1E69"/>
    <w:rsid w:val="006440B4"/>
    <w:rsid w:val="00F6323C"/>
    <w:rsid w:val="22B1C2B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2404F0"/>
  <w15:docId w15:val="{DC50A7ED-5641-4909-98C4-3E65E18715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2"/>
        <w:szCs w:val="22"/>
        <w:lang w:val="e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paragraph" w:styleId="Nagwek1">
    <w:name w:val="heading 1"/>
    <w:basedOn w:val="Normalny"/>
    <w:next w:val="Normalny"/>
    <w:uiPriority w:val="9"/>
    <w:qFormat/>
    <w:pPr>
      <w:outlineLvl w:val="0"/>
    </w:pPr>
  </w:style>
  <w:style w:type="paragraph" w:styleId="Nagwek2">
    <w:name w:val="heading 2"/>
    <w:basedOn w:val="Normalny"/>
    <w:next w:val="Normalny"/>
    <w:uiPriority w:val="9"/>
    <w:semiHidden/>
    <w:unhideWhenUsed/>
    <w:qFormat/>
    <w:pPr>
      <w:keepNext/>
      <w:keepLines/>
      <w:spacing w:before="200" w:after="0"/>
      <w:outlineLvl w:val="1"/>
    </w:pPr>
    <w:rPr>
      <w:b/>
      <w:color w:val="4F81BD"/>
      <w:sz w:val="26"/>
      <w:szCs w:val="26"/>
    </w:rPr>
  </w:style>
  <w:style w:type="paragraph" w:styleId="Nagwek3">
    <w:name w:val="heading 3"/>
    <w:basedOn w:val="Normalny"/>
    <w:next w:val="Normalny"/>
    <w:uiPriority w:val="9"/>
    <w:semiHidden/>
    <w:unhideWhenUsed/>
    <w:qFormat/>
    <w:pPr>
      <w:keepNext/>
      <w:keepLines/>
      <w:spacing w:before="200" w:after="0"/>
      <w:outlineLvl w:val="2"/>
    </w:pPr>
    <w:rPr>
      <w:b/>
      <w:color w:val="4F81BD"/>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TableNormal" w:customStyle="1">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styleId="Nagwek1Znak" w:customStyle="1">
    <w:name w:val="Nagłówek 1 Znak"/>
    <w:uiPriority w:val="9"/>
    <w:rsid w:val="002B5C0E"/>
    <w:rPr>
      <w:rFonts w:ascii="Times New Roman" w:hAnsi="Times New Roman"/>
      <w:sz w:val="22"/>
      <w:szCs w:val="22"/>
      <w:lang w:eastAsia="ar-SA"/>
    </w:rPr>
  </w:style>
  <w:style w:type="paragraph" w:styleId="Authors" w:customStyle="1">
    <w:name w:val="Authors"/>
    <w:rsid w:val="00042206"/>
    <w:pPr>
      <w:spacing w:before="240" w:after="240"/>
      <w:jc w:val="center"/>
    </w:pPr>
    <w:rPr>
      <w:sz w:val="18"/>
    </w:rPr>
  </w:style>
  <w:style w:type="paragraph" w:styleId="Affiliation" w:customStyle="1">
    <w:name w:val="Affiliation"/>
    <w:rsid w:val="00042206"/>
    <w:pPr>
      <w:spacing w:after="0" w:line="240" w:lineRule="auto"/>
      <w:jc w:val="center"/>
    </w:pPr>
    <w:rPr>
      <w:sz w:val="16"/>
      <w:szCs w:val="20"/>
      <w:lang w:val="en-GB"/>
    </w:rPr>
  </w:style>
  <w:style w:type="paragraph" w:styleId="E-mails" w:customStyle="1">
    <w:name w:val="E-mails"/>
    <w:rsid w:val="00F94CE1"/>
    <w:pPr>
      <w:spacing w:before="120" w:after="0" w:line="240" w:lineRule="auto"/>
      <w:contextualSpacing/>
      <w:jc w:val="center"/>
    </w:pPr>
    <w:rPr>
      <w:rFonts w:ascii="Courier New" w:hAnsi="Courier New"/>
      <w:sz w:val="16"/>
    </w:rPr>
  </w:style>
  <w:style w:type="paragraph" w:styleId="Paragraph" w:customStyle="1">
    <w:name w:val="Paragraph"/>
    <w:rsid w:val="00FF1D25"/>
    <w:pPr>
      <w:spacing w:after="0" w:line="240" w:lineRule="auto"/>
      <w:ind w:firstLine="340"/>
      <w:jc w:val="both"/>
    </w:pPr>
    <w:rPr>
      <w:sz w:val="18"/>
      <w:szCs w:val="20"/>
      <w:lang w:val="en-US"/>
    </w:rPr>
  </w:style>
  <w:style w:type="paragraph" w:styleId="List-2-numbered" w:customStyle="1">
    <w:name w:val="List-2-numbered"/>
    <w:rsid w:val="00D9416C"/>
    <w:pPr>
      <w:numPr>
        <w:numId w:val="3"/>
      </w:numPr>
      <w:spacing w:before="120" w:after="0" w:line="240" w:lineRule="auto"/>
      <w:ind w:left="510" w:hanging="170"/>
      <w:contextualSpacing/>
    </w:pPr>
    <w:rPr>
      <w:sz w:val="18"/>
    </w:rPr>
  </w:style>
  <w:style w:type="paragraph" w:styleId="List-3-numbered" w:customStyle="1">
    <w:name w:val="List-3-numbered"/>
    <w:rsid w:val="00D9416C"/>
    <w:pPr>
      <w:tabs>
        <w:tab w:val="num" w:pos="720"/>
      </w:tabs>
      <w:spacing w:before="120" w:after="0" w:line="240" w:lineRule="auto"/>
      <w:ind w:left="510" w:hanging="170"/>
      <w:contextualSpacing/>
    </w:pPr>
    <w:rPr>
      <w:sz w:val="18"/>
    </w:rPr>
  </w:style>
  <w:style w:type="paragraph" w:styleId="Legenda1" w:customStyle="1">
    <w:name w:val="Legenda1"/>
    <w:next w:val="Paragraph"/>
    <w:rsid w:val="00BE052B"/>
    <w:pPr>
      <w:spacing w:before="120" w:after="120" w:line="240" w:lineRule="auto"/>
      <w:jc w:val="center"/>
    </w:pPr>
    <w:rPr>
      <w:rFonts w:eastAsia="Arial Unicode MS"/>
      <w:iCs/>
      <w:kern w:val="1"/>
      <w:sz w:val="16"/>
      <w:szCs w:val="20"/>
      <w:lang w:val="en-US"/>
    </w:rPr>
  </w:style>
  <w:style w:type="paragraph" w:styleId="List-bulleted" w:customStyle="1">
    <w:name w:val="List-bulleted"/>
    <w:rsid w:val="00004A9E"/>
    <w:pPr>
      <w:numPr>
        <w:numId w:val="1"/>
      </w:numPr>
      <w:spacing w:before="120" w:after="0" w:line="240" w:lineRule="auto"/>
      <w:ind w:left="510" w:hanging="170"/>
      <w:contextualSpacing/>
      <w:jc w:val="both"/>
    </w:pPr>
    <w:rPr>
      <w:sz w:val="18"/>
      <w:lang w:val="en-US"/>
    </w:rPr>
  </w:style>
  <w:style w:type="paragraph" w:styleId="Keywords" w:customStyle="1">
    <w:name w:val="Keywords"/>
    <w:rsid w:val="00BC10E2"/>
    <w:pPr>
      <w:spacing w:before="360"/>
      <w:jc w:val="both"/>
    </w:pPr>
    <w:rPr>
      <w:sz w:val="18"/>
      <w:szCs w:val="18"/>
      <w:lang w:val="en-US"/>
    </w:rPr>
  </w:style>
  <w:style w:type="paragraph" w:styleId="Table" w:customStyle="1">
    <w:name w:val="Table"/>
    <w:next w:val="Paragraph"/>
    <w:rsid w:val="00117B9E"/>
    <w:pPr>
      <w:keepNext/>
      <w:widowControl w:val="0"/>
      <w:suppressLineNumbers/>
      <w:snapToGrid w:val="0"/>
      <w:spacing w:after="0" w:line="240" w:lineRule="auto"/>
      <w:ind w:left="284" w:right="284"/>
      <w:jc w:val="both"/>
    </w:pPr>
    <w:rPr>
      <w:rFonts w:eastAsia="Arial Unicode MS"/>
      <w:kern w:val="1"/>
      <w:sz w:val="16"/>
      <w:szCs w:val="20"/>
      <w:lang w:val="en-US"/>
    </w:rPr>
  </w:style>
  <w:style w:type="paragraph" w:styleId="Tekstdymka">
    <w:name w:val="Balloon Text"/>
    <w:link w:val="TekstdymkaZnak"/>
    <w:uiPriority w:val="99"/>
    <w:semiHidden/>
    <w:unhideWhenUsed/>
    <w:rsid w:val="00374922"/>
    <w:pPr>
      <w:spacing w:after="0" w:line="240" w:lineRule="auto"/>
    </w:pPr>
    <w:rPr>
      <w:rFonts w:ascii="Tahoma" w:hAnsi="Tahoma"/>
      <w:sz w:val="16"/>
      <w:szCs w:val="16"/>
    </w:rPr>
  </w:style>
  <w:style w:type="character" w:styleId="TekstdymkaZnak" w:customStyle="1">
    <w:name w:val="Tekst dymka Znak"/>
    <w:link w:val="Tekstdymka"/>
    <w:uiPriority w:val="99"/>
    <w:semiHidden/>
    <w:rsid w:val="00374922"/>
    <w:rPr>
      <w:rFonts w:ascii="Tahoma" w:hAnsi="Tahoma" w:cs="Tahoma"/>
      <w:sz w:val="16"/>
      <w:szCs w:val="16"/>
      <w:lang w:eastAsia="ar-SA"/>
    </w:rPr>
  </w:style>
  <w:style w:type="table" w:styleId="Tabela-Siatka">
    <w:name w:val="Table Grid"/>
    <w:basedOn w:val="Standardowy"/>
    <w:rsid w:val="000315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gwek2Znak" w:customStyle="1">
    <w:name w:val="Nagłówek 2 Znak"/>
    <w:uiPriority w:val="9"/>
    <w:rsid w:val="002B5C0E"/>
    <w:rPr>
      <w:rFonts w:ascii="Times New Roman" w:hAnsi="Times New Roman" w:eastAsia="Times New Roman" w:cs="Times New Roman"/>
      <w:b/>
      <w:bCs/>
      <w:color w:val="4F81BD"/>
      <w:sz w:val="26"/>
      <w:szCs w:val="26"/>
      <w:lang w:eastAsia="ar-SA"/>
    </w:rPr>
  </w:style>
  <w:style w:type="character" w:styleId="Nagwek3Znak" w:customStyle="1">
    <w:name w:val="Nagłówek 3 Znak"/>
    <w:uiPriority w:val="9"/>
    <w:semiHidden/>
    <w:rsid w:val="002B5C0E"/>
    <w:rPr>
      <w:rFonts w:ascii="Times New Roman" w:hAnsi="Times New Roman" w:eastAsia="Times New Roman" w:cs="Times New Roman"/>
      <w:b/>
      <w:bCs/>
      <w:color w:val="4F81BD"/>
      <w:sz w:val="22"/>
      <w:szCs w:val="22"/>
      <w:lang w:eastAsia="ar-SA"/>
    </w:rPr>
  </w:style>
  <w:style w:type="numbering" w:styleId="Styl1" w:customStyle="1">
    <w:name w:val="Styl1"/>
    <w:uiPriority w:val="99"/>
    <w:rsid w:val="00E41DB1"/>
  </w:style>
  <w:style w:type="paragraph" w:styleId="List-numbered-bold" w:customStyle="1">
    <w:name w:val="List-numbered-bold"/>
    <w:qFormat/>
    <w:rsid w:val="003B1B33"/>
    <w:pPr>
      <w:spacing w:before="240" w:after="120" w:line="240" w:lineRule="auto"/>
    </w:pPr>
    <w:rPr>
      <w:b/>
      <w:szCs w:val="16"/>
      <w:lang w:val="en-US"/>
    </w:rPr>
  </w:style>
  <w:style w:type="paragraph" w:styleId="List-1-numbered" w:customStyle="1">
    <w:name w:val="List-1-numbered"/>
    <w:basedOn w:val="List-numbered-bold"/>
    <w:rsid w:val="00DA3B2E"/>
    <w:pPr>
      <w:tabs>
        <w:tab w:val="num" w:pos="720"/>
      </w:tabs>
      <w:spacing w:before="120" w:after="0"/>
      <w:ind w:left="510" w:hanging="170"/>
      <w:contextualSpacing/>
      <w:jc w:val="both"/>
    </w:pPr>
    <w:rPr>
      <w:b w:val="0"/>
      <w:sz w:val="18"/>
    </w:rPr>
  </w:style>
  <w:style w:type="paragraph" w:styleId="References" w:customStyle="1">
    <w:name w:val="References"/>
    <w:next w:val="Paragraph"/>
    <w:rsid w:val="00516EAB"/>
    <w:pPr>
      <w:spacing w:after="0" w:line="240" w:lineRule="auto"/>
      <w:jc w:val="both"/>
    </w:pPr>
    <w:rPr>
      <w:sz w:val="16"/>
    </w:rPr>
  </w:style>
  <w:style w:type="paragraph" w:styleId="Titlebold" w:customStyle="1">
    <w:name w:val="Title_bold"/>
    <w:rsid w:val="00042206"/>
    <w:pPr>
      <w:spacing w:after="0" w:line="240" w:lineRule="auto"/>
      <w:jc w:val="center"/>
    </w:pPr>
    <w:rPr>
      <w:b/>
      <w:sz w:val="24"/>
      <w:lang w:val="en-US"/>
    </w:rPr>
  </w:style>
  <w:style w:type="paragraph" w:styleId="HTML" w:customStyle="1">
    <w:name w:val="HTML"/>
    <w:next w:val="Paragraph"/>
    <w:link w:val="HTMLZnak"/>
    <w:rsid w:val="00A177B2"/>
    <w:rPr>
      <w:rFonts w:ascii="Courier New" w:hAnsi="Courier New"/>
      <w:sz w:val="16"/>
    </w:rPr>
  </w:style>
  <w:style w:type="paragraph" w:styleId="NormalnyWeb">
    <w:name w:val="Normal (Web)"/>
    <w:uiPriority w:val="99"/>
    <w:semiHidden/>
    <w:unhideWhenUsed/>
    <w:rsid w:val="00C2755E"/>
    <w:pPr>
      <w:spacing w:before="100" w:beforeAutospacing="1" w:after="100" w:afterAutospacing="1" w:line="240" w:lineRule="auto"/>
    </w:pPr>
    <w:rPr>
      <w:rFonts w:ascii="Times" w:hAnsi="Times" w:eastAsia="MS Mincho"/>
      <w:sz w:val="20"/>
      <w:szCs w:val="20"/>
      <w:lang w:val="en-US" w:eastAsia="en-US"/>
    </w:rPr>
  </w:style>
  <w:style w:type="paragraph" w:styleId="Formula" w:customStyle="1">
    <w:name w:val="Formula"/>
    <w:next w:val="Paragraph"/>
    <w:rsid w:val="00443705"/>
    <w:pPr>
      <w:tabs>
        <w:tab w:val="right" w:pos="6663"/>
      </w:tabs>
      <w:spacing w:before="120" w:after="120"/>
      <w:jc w:val="right"/>
    </w:pPr>
    <w:rPr>
      <w:color w:val="000000"/>
      <w:sz w:val="20"/>
      <w:lang w:val="en-US"/>
    </w:rPr>
  </w:style>
  <w:style w:type="character" w:styleId="HTMLZnak" w:customStyle="1">
    <w:name w:val="HTML Znak"/>
    <w:link w:val="HTML"/>
    <w:rsid w:val="00A177B2"/>
    <w:rPr>
      <w:rFonts w:ascii="Courier New" w:hAnsi="Courier New" w:cs="Calibri"/>
      <w:sz w:val="16"/>
      <w:szCs w:val="22"/>
      <w:lang w:eastAsia="ar-SA"/>
    </w:rPr>
  </w:style>
  <w:style w:type="paragraph" w:styleId="Akapitzlist">
    <w:name w:val="List Paragraph"/>
    <w:uiPriority w:val="34"/>
    <w:qFormat/>
    <w:rsid w:val="00C60CA8"/>
    <w:pPr>
      <w:ind w:left="720"/>
      <w:contextualSpacing/>
    </w:pPr>
  </w:style>
  <w:style w:type="character" w:styleId="Hipercze">
    <w:name w:val="Hyperlink"/>
    <w:basedOn w:val="Domylnaczcionkaakapitu"/>
    <w:unhideWhenUsed/>
    <w:rsid w:val="00615936"/>
    <w:rPr>
      <w:color w:val="0563C1" w:themeColor="hyperlink"/>
      <w:u w:val="single"/>
    </w:rPr>
  </w:style>
  <w:style w:type="character" w:styleId="Nierozpoznanawzmianka">
    <w:name w:val="Unresolved Mention"/>
    <w:basedOn w:val="Domylnaczcionkaakapitu"/>
    <w:uiPriority w:val="99"/>
    <w:semiHidden/>
    <w:unhideWhenUsed/>
    <w:rsid w:val="00615936"/>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xmlns:thm15="http://schemas.microsoft.com/office/thememl/2012/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pSlTicQ8UHss6n98WWuvsYPbTw==">CgMxLjA4AHIhMUdUd1RVRTYwU0thWlduUU5xMlpORTBSVnBMTktvWDR6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Pilipczuk</dc:creator>
  <lastModifiedBy>Gość</lastModifiedBy>
  <revision>2</revision>
  <dcterms:created xsi:type="dcterms:W3CDTF">2025-09-02T12:41:00.0000000Z</dcterms:created>
  <dcterms:modified xsi:type="dcterms:W3CDTF">2025-09-02T12:42:10.2115752Z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