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A33DD7" w:rsidRDefault="00E31E95" w14:paraId="17590E3D" wp14:textId="77777777">
      <w:pPr>
        <w:spacing w:before="240" w:after="240"/>
        <w:jc w:val="center"/>
        <w:rPr>
          <w:b/>
          <w:sz w:val="24"/>
          <w:szCs w:val="24"/>
        </w:rPr>
      </w:pPr>
      <w:r>
        <w:rPr>
          <w:b/>
          <w:sz w:val="24"/>
          <w:szCs w:val="24"/>
        </w:rPr>
        <w:t>Aggregating gut: on the link between neurodegeneration and bacterial functional amyloids</w:t>
      </w:r>
    </w:p>
    <w:p xmlns:wp14="http://schemas.microsoft.com/office/word/2010/wordml" w:rsidR="00A33DD7" w:rsidRDefault="00E31E95" w14:paraId="155DDBE6" wp14:textId="77777777">
      <w:pPr>
        <w:pBdr>
          <w:top w:val="nil"/>
          <w:left w:val="nil"/>
          <w:bottom w:val="nil"/>
          <w:right w:val="nil"/>
          <w:between w:val="nil"/>
        </w:pBdr>
        <w:spacing w:before="240" w:after="240"/>
        <w:jc w:val="center"/>
        <w:rPr>
          <w:color w:val="000000"/>
          <w:sz w:val="18"/>
          <w:szCs w:val="18"/>
        </w:rPr>
      </w:pPr>
      <w:r>
        <w:rPr>
          <w:sz w:val="18"/>
          <w:szCs w:val="18"/>
        </w:rPr>
        <w:t>Alicja W. Wojciechowska</w:t>
      </w:r>
      <w:r>
        <w:rPr>
          <w:color w:val="000000"/>
          <w:sz w:val="18"/>
          <w:szCs w:val="18"/>
          <w:vertAlign w:val="superscript"/>
        </w:rPr>
        <w:t>1,2</w:t>
      </w:r>
      <w:r>
        <w:rPr>
          <w:color w:val="000000"/>
          <w:sz w:val="18"/>
          <w:szCs w:val="18"/>
        </w:rPr>
        <w:t xml:space="preserve">, </w:t>
      </w:r>
      <w:r>
        <w:rPr>
          <w:sz w:val="18"/>
          <w:szCs w:val="18"/>
        </w:rPr>
        <w:t>Jakub W. Wojciechowski</w:t>
      </w:r>
      <w:r>
        <w:rPr>
          <w:sz w:val="18"/>
          <w:szCs w:val="18"/>
          <w:vertAlign w:val="superscript"/>
        </w:rPr>
        <w:t>1</w:t>
      </w:r>
      <w:r>
        <w:rPr>
          <w:color w:val="000000"/>
          <w:sz w:val="18"/>
          <w:szCs w:val="18"/>
        </w:rPr>
        <w:t xml:space="preserve">, </w:t>
      </w:r>
      <w:r>
        <w:rPr>
          <w:sz w:val="18"/>
          <w:szCs w:val="18"/>
        </w:rPr>
        <w:t>Kinga Zielinska</w:t>
      </w:r>
      <w:r>
        <w:rPr>
          <w:sz w:val="18"/>
          <w:szCs w:val="18"/>
          <w:vertAlign w:val="superscript"/>
        </w:rPr>
        <w:t>3</w:t>
      </w:r>
      <w:r>
        <w:rPr>
          <w:color w:val="000000"/>
          <w:sz w:val="18"/>
          <w:szCs w:val="18"/>
        </w:rPr>
        <w:t>, J</w:t>
      </w:r>
      <w:r>
        <w:rPr>
          <w:sz w:val="18"/>
          <w:szCs w:val="18"/>
        </w:rPr>
        <w:t>ohannes Soeding</w:t>
      </w:r>
      <w:r>
        <w:rPr>
          <w:sz w:val="18"/>
          <w:szCs w:val="18"/>
          <w:vertAlign w:val="superscript"/>
        </w:rPr>
        <w:t>4</w:t>
      </w:r>
      <w:r>
        <w:rPr>
          <w:color w:val="000000"/>
          <w:sz w:val="18"/>
          <w:szCs w:val="18"/>
        </w:rPr>
        <w:t xml:space="preserve">, </w:t>
      </w:r>
      <w:r>
        <w:rPr>
          <w:color w:val="000000"/>
          <w:sz w:val="18"/>
          <w:szCs w:val="18"/>
        </w:rPr>
        <w:br/>
      </w:r>
      <w:r>
        <w:rPr>
          <w:sz w:val="18"/>
          <w:szCs w:val="18"/>
        </w:rPr>
        <w:t>Tomasz Kosciolek</w:t>
      </w:r>
      <w:r>
        <w:rPr>
          <w:sz w:val="18"/>
          <w:szCs w:val="18"/>
          <w:vertAlign w:val="superscript"/>
        </w:rPr>
        <w:t>1</w:t>
      </w:r>
      <w:r>
        <w:rPr>
          <w:color w:val="000000"/>
          <w:sz w:val="18"/>
          <w:szCs w:val="18"/>
        </w:rPr>
        <w:t xml:space="preserve">, </w:t>
      </w:r>
      <w:r>
        <w:rPr>
          <w:sz w:val="18"/>
          <w:szCs w:val="18"/>
        </w:rPr>
        <w:t>Malgorzata Kotulska</w:t>
      </w:r>
      <w:r>
        <w:rPr>
          <w:color w:val="000000"/>
          <w:sz w:val="18"/>
          <w:szCs w:val="18"/>
          <w:vertAlign w:val="superscript"/>
        </w:rPr>
        <w:t>2</w:t>
      </w:r>
    </w:p>
    <w:p xmlns:wp14="http://schemas.microsoft.com/office/word/2010/wordml" w:rsidR="00A33DD7" w:rsidP="10F7AF1B" w:rsidRDefault="00E31E95" w14:paraId="0A28EC2B"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sz w:val="16"/>
          <w:szCs w:val="16"/>
          <w:lang w:val="en-US"/>
        </w:rPr>
      </w:pPr>
      <w:r w:rsidRPr="10F7AF1B" w:rsidR="10F7AF1B">
        <w:rPr>
          <w:color w:val="000000" w:themeColor="text1" w:themeTint="FF" w:themeShade="FF"/>
          <w:sz w:val="16"/>
          <w:szCs w:val="16"/>
          <w:vertAlign w:val="superscript"/>
          <w:lang w:val="en-US"/>
        </w:rPr>
        <w:t>1</w:t>
      </w:r>
      <w:r w:rsidRPr="10F7AF1B" w:rsidR="10F7AF1B">
        <w:rPr>
          <w:color w:val="000000" w:themeColor="text1" w:themeTint="FF" w:themeShade="FF"/>
          <w:sz w:val="16"/>
          <w:szCs w:val="16"/>
          <w:lang w:val="en-US"/>
        </w:rPr>
        <w:t xml:space="preserve">Sano Centre for Computational Medicine, </w:t>
      </w:r>
      <w:r w:rsidRPr="10F7AF1B" w:rsidR="10F7AF1B">
        <w:rPr>
          <w:color w:val="000000" w:themeColor="text1" w:themeTint="FF" w:themeShade="FF"/>
          <w:sz w:val="16"/>
          <w:szCs w:val="16"/>
          <w:lang w:val="en-US"/>
        </w:rPr>
        <w:t>Czarnowiejska</w:t>
      </w:r>
      <w:r w:rsidRPr="10F7AF1B" w:rsidR="10F7AF1B">
        <w:rPr>
          <w:color w:val="000000" w:themeColor="text1" w:themeTint="FF" w:themeShade="FF"/>
          <w:sz w:val="16"/>
          <w:szCs w:val="16"/>
          <w:lang w:val="en-US"/>
        </w:rPr>
        <w:t xml:space="preserve"> 36, 30-054 Kraków, Poland</w:t>
      </w:r>
      <w:r>
        <w:br/>
      </w:r>
      <w:r w:rsidRPr="10F7AF1B" w:rsidR="10F7AF1B">
        <w:rPr>
          <w:color w:val="000000" w:themeColor="text1" w:themeTint="FF" w:themeShade="FF"/>
          <w:sz w:val="16"/>
          <w:szCs w:val="16"/>
          <w:vertAlign w:val="superscript"/>
          <w:lang w:val="en-US"/>
        </w:rPr>
        <w:t>2</w:t>
      </w:r>
      <w:r w:rsidRPr="10F7AF1B" w:rsidR="10F7AF1B">
        <w:rPr>
          <w:sz w:val="16"/>
          <w:szCs w:val="16"/>
          <w:lang w:val="en-US"/>
        </w:rPr>
        <w:t>Wroclaw University of Science and Technology, Faculty of Fundamental Problems of Technology, Department of Biomedical Engineering, Wroclaw, Poland</w:t>
      </w:r>
    </w:p>
    <w:p xmlns:wp14="http://schemas.microsoft.com/office/word/2010/wordml" w:rsidR="00A33DD7" w:rsidRDefault="00E31E95" w14:paraId="3E1A17EC" wp14:textId="77777777">
      <w:pPr>
        <w:spacing w:after="0" w:line="240" w:lineRule="auto"/>
        <w:jc w:val="center"/>
        <w:rPr>
          <w:sz w:val="16"/>
          <w:szCs w:val="16"/>
        </w:rPr>
      </w:pPr>
      <w:r>
        <w:rPr>
          <w:sz w:val="16"/>
          <w:szCs w:val="16"/>
          <w:vertAlign w:val="superscript"/>
        </w:rPr>
        <w:t>3</w:t>
      </w:r>
      <w:r>
        <w:rPr>
          <w:sz w:val="16"/>
          <w:szCs w:val="16"/>
        </w:rPr>
        <w:t>Malopolska Centre of Biotechnology, Jagiellonian University, Krakow, Poland</w:t>
      </w:r>
    </w:p>
    <w:p xmlns:wp14="http://schemas.microsoft.com/office/word/2010/wordml" w:rsidR="00A33DD7" w:rsidRDefault="00E31E95" w14:paraId="5B26CA65" wp14:textId="77777777">
      <w:pPr>
        <w:spacing w:after="0" w:line="240" w:lineRule="auto"/>
        <w:jc w:val="center"/>
        <w:rPr>
          <w:sz w:val="16"/>
          <w:szCs w:val="16"/>
        </w:rPr>
      </w:pPr>
      <w:r>
        <w:rPr>
          <w:sz w:val="16"/>
          <w:szCs w:val="16"/>
          <w:vertAlign w:val="superscript"/>
        </w:rPr>
        <w:t>4</w:t>
      </w:r>
      <w:r>
        <w:rPr>
          <w:sz w:val="16"/>
          <w:szCs w:val="16"/>
        </w:rPr>
        <w:t>Max Planck Institute for Multidisciplinary Sciences, Gottingen, Germany</w:t>
      </w:r>
    </w:p>
    <w:p xmlns:wp14="http://schemas.microsoft.com/office/word/2010/wordml" w:rsidR="00A33DD7" w:rsidP="10F7AF1B" w:rsidRDefault="00E31E95" w14:paraId="126A3320"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center"/>
        <w:rPr>
          <w:color w:val="000000"/>
          <w:sz w:val="16"/>
          <w:szCs w:val="16"/>
          <w:lang w:val="en-US"/>
        </w:rPr>
      </w:pPr>
      <w:r>
        <w:br/>
      </w:r>
      <w:r w:rsidRPr="10F7AF1B" w:rsidR="10F7AF1B">
        <w:rPr>
          <w:color w:val="000000" w:themeColor="text1" w:themeTint="FF" w:themeShade="FF"/>
          <w:sz w:val="16"/>
          <w:szCs w:val="16"/>
          <w:lang w:val="en-US"/>
        </w:rPr>
        <w:t>{</w:t>
      </w:r>
      <w:r w:rsidRPr="10F7AF1B" w:rsidR="10F7AF1B">
        <w:rPr>
          <w:i w:val="1"/>
          <w:iCs w:val="1"/>
          <w:color w:val="000000" w:themeColor="text1" w:themeTint="FF" w:themeShade="FF"/>
          <w:sz w:val="16"/>
          <w:szCs w:val="16"/>
          <w:lang w:val="en-US"/>
        </w:rPr>
        <w:t>a.wo</w:t>
      </w:r>
      <w:r w:rsidRPr="10F7AF1B" w:rsidR="10F7AF1B">
        <w:rPr>
          <w:i w:val="1"/>
          <w:iCs w:val="1"/>
          <w:sz w:val="16"/>
          <w:szCs w:val="16"/>
          <w:lang w:val="en-US"/>
        </w:rPr>
        <w:t>jeciechowska</w:t>
      </w:r>
      <w:r w:rsidRPr="10F7AF1B" w:rsidR="10F7AF1B">
        <w:rPr>
          <w:i w:val="1"/>
          <w:iCs w:val="1"/>
          <w:sz w:val="16"/>
          <w:szCs w:val="16"/>
          <w:lang w:val="en-US"/>
        </w:rPr>
        <w:t xml:space="preserve">, </w:t>
      </w:r>
      <w:r w:rsidRPr="10F7AF1B" w:rsidR="10F7AF1B">
        <w:rPr>
          <w:i w:val="1"/>
          <w:iCs w:val="1"/>
          <w:sz w:val="16"/>
          <w:szCs w:val="16"/>
          <w:lang w:val="en-US"/>
        </w:rPr>
        <w:t>j.wojciechowski</w:t>
      </w:r>
      <w:r w:rsidRPr="10F7AF1B" w:rsidR="10F7AF1B">
        <w:rPr>
          <w:i w:val="1"/>
          <w:iCs w:val="1"/>
          <w:sz w:val="16"/>
          <w:szCs w:val="16"/>
          <w:lang w:val="en-US"/>
        </w:rPr>
        <w:t xml:space="preserve">, </w:t>
      </w:r>
      <w:r w:rsidRPr="10F7AF1B" w:rsidR="10F7AF1B">
        <w:rPr>
          <w:i w:val="1"/>
          <w:iCs w:val="1"/>
          <w:sz w:val="16"/>
          <w:szCs w:val="16"/>
          <w:lang w:val="en-US"/>
        </w:rPr>
        <w:t>t.kosciolek</w:t>
      </w:r>
      <w:r w:rsidRPr="10F7AF1B" w:rsidR="10F7AF1B">
        <w:rPr>
          <w:sz w:val="16"/>
          <w:szCs w:val="16"/>
          <w:lang w:val="en-US"/>
        </w:rPr>
        <w:t>}</w:t>
      </w:r>
      <w:r w:rsidRPr="10F7AF1B" w:rsidR="10F7AF1B">
        <w:rPr>
          <w:color w:val="000000" w:themeColor="text1" w:themeTint="FF" w:themeShade="FF"/>
          <w:sz w:val="16"/>
          <w:szCs w:val="16"/>
          <w:lang w:val="en-US"/>
        </w:rPr>
        <w:t>@</w:t>
      </w:r>
      <w:r w:rsidRPr="10F7AF1B" w:rsidR="10F7AF1B">
        <w:rPr>
          <w:i w:val="1"/>
          <w:iCs w:val="1"/>
          <w:color w:val="000000" w:themeColor="text1" w:themeTint="FF" w:themeShade="FF"/>
          <w:sz w:val="16"/>
          <w:szCs w:val="16"/>
          <w:lang w:val="en-US"/>
        </w:rPr>
        <w:t>sanoscience.org</w:t>
      </w:r>
      <w:r w:rsidRPr="10F7AF1B" w:rsidR="10F7AF1B">
        <w:rPr>
          <w:color w:val="000000" w:themeColor="text1" w:themeTint="FF" w:themeShade="FF"/>
          <w:sz w:val="16"/>
          <w:szCs w:val="16"/>
          <w:lang w:val="en-US"/>
        </w:rPr>
        <w:t>, {</w:t>
      </w:r>
      <w:r w:rsidRPr="10F7AF1B" w:rsidR="10F7AF1B">
        <w:rPr>
          <w:i w:val="1"/>
          <w:iCs w:val="1"/>
          <w:sz w:val="16"/>
          <w:szCs w:val="16"/>
          <w:lang w:val="en-US"/>
        </w:rPr>
        <w:t>kinga.zielinska</w:t>
      </w:r>
      <w:r w:rsidRPr="10F7AF1B" w:rsidR="10F7AF1B">
        <w:rPr>
          <w:sz w:val="16"/>
          <w:szCs w:val="16"/>
          <w:lang w:val="en-US"/>
        </w:rPr>
        <w:t>}</w:t>
      </w:r>
      <w:r w:rsidRPr="10F7AF1B" w:rsidR="10F7AF1B">
        <w:rPr>
          <w:i w:val="1"/>
          <w:iCs w:val="1"/>
          <w:sz w:val="16"/>
          <w:szCs w:val="16"/>
          <w:lang w:val="en-US"/>
        </w:rPr>
        <w:t>@</w:t>
      </w:r>
      <w:hyperlink r:id="Rec5fc2f8bc0148b7">
        <w:r w:rsidRPr="10F7AF1B" w:rsidR="10F7AF1B">
          <w:rPr>
            <w:i w:val="1"/>
            <w:iCs w:val="1"/>
            <w:sz w:val="16"/>
            <w:szCs w:val="16"/>
            <w:lang w:val="en-US"/>
          </w:rPr>
          <w:t>uj.edu.pl</w:t>
        </w:r>
      </w:hyperlink>
      <w:r w:rsidRPr="10F7AF1B" w:rsidR="10F7AF1B">
        <w:rPr>
          <w:i w:val="1"/>
          <w:iCs w:val="1"/>
          <w:sz w:val="16"/>
          <w:szCs w:val="16"/>
          <w:lang w:val="en-US"/>
        </w:rPr>
        <w:t>, {</w:t>
      </w:r>
      <w:r w:rsidRPr="10F7AF1B" w:rsidR="10F7AF1B">
        <w:rPr>
          <w:i w:val="1"/>
          <w:iCs w:val="1"/>
          <w:sz w:val="16"/>
          <w:szCs w:val="16"/>
          <w:lang w:val="en-US"/>
        </w:rPr>
        <w:t>soeding</w:t>
      </w:r>
      <w:r w:rsidRPr="10F7AF1B" w:rsidR="10F7AF1B">
        <w:rPr>
          <w:i w:val="1"/>
          <w:iCs w:val="1"/>
          <w:sz w:val="16"/>
          <w:szCs w:val="16"/>
          <w:lang w:val="en-US"/>
        </w:rPr>
        <w:t>}@</w:t>
      </w:r>
      <w:hyperlink r:id="R229efb0e240947ef">
        <w:r w:rsidRPr="10F7AF1B" w:rsidR="10F7AF1B">
          <w:rPr>
            <w:i w:val="1"/>
            <w:iCs w:val="1"/>
            <w:sz w:val="16"/>
            <w:szCs w:val="16"/>
            <w:lang w:val="en-US"/>
          </w:rPr>
          <w:t>mpinat.mpg.de</w:t>
        </w:r>
      </w:hyperlink>
      <w:r w:rsidRPr="10F7AF1B" w:rsidR="10F7AF1B">
        <w:rPr>
          <w:i w:val="1"/>
          <w:iCs w:val="1"/>
          <w:sz w:val="16"/>
          <w:szCs w:val="16"/>
          <w:lang w:val="en-US"/>
        </w:rPr>
        <w:t>, {malgorzata.kotulska}@pwr.edu.pl</w:t>
      </w:r>
      <w:r>
        <w:br/>
      </w:r>
      <w:r>
        <w:br/>
      </w:r>
      <w:r w:rsidRPr="10F7AF1B" w:rsidR="10F7AF1B">
        <w:rPr>
          <w:b w:val="1"/>
          <w:bCs w:val="1"/>
          <w:color w:val="000000" w:themeColor="text1" w:themeTint="FF" w:themeShade="FF"/>
          <w:sz w:val="16"/>
          <w:szCs w:val="16"/>
          <w:lang w:val="en-US"/>
        </w:rPr>
        <w:t>Keywords</w:t>
      </w:r>
      <w:r w:rsidRPr="10F7AF1B" w:rsidR="10F7AF1B">
        <w:rPr>
          <w:color w:val="000000" w:themeColor="text1" w:themeTint="FF" w:themeShade="FF"/>
          <w:sz w:val="16"/>
          <w:szCs w:val="16"/>
          <w:lang w:val="en-US"/>
        </w:rPr>
        <w:t xml:space="preserve">: </w:t>
      </w:r>
      <w:r w:rsidRPr="10F7AF1B" w:rsidR="10F7AF1B">
        <w:rPr>
          <w:sz w:val="16"/>
          <w:szCs w:val="16"/>
          <w:lang w:val="en-US"/>
        </w:rPr>
        <w:t>microbiome, neurodegeneration, protein</w:t>
      </w:r>
    </w:p>
    <w:p xmlns:wp14="http://schemas.microsoft.com/office/word/2010/wordml" w:rsidR="00A33DD7" w:rsidRDefault="00E31E95" w14:paraId="2635E364" wp14:textId="77777777">
      <w:pPr>
        <w:numPr>
          <w:ilvl w:val="0"/>
          <w:numId w:val="1"/>
        </w:numPr>
        <w:pBdr>
          <w:top w:val="nil"/>
          <w:left w:val="nil"/>
          <w:bottom w:val="nil"/>
          <w:right w:val="nil"/>
          <w:between w:val="nil"/>
        </w:pBdr>
        <w:spacing w:before="240" w:after="120" w:line="240" w:lineRule="auto"/>
        <w:ind w:left="227" w:hanging="227"/>
      </w:pPr>
      <w:r>
        <w:rPr>
          <w:b/>
          <w:color w:val="000000"/>
        </w:rPr>
        <w:t xml:space="preserve">Introduction </w:t>
      </w:r>
    </w:p>
    <w:p xmlns:wp14="http://schemas.microsoft.com/office/word/2010/wordml" w:rsidR="00A33DD7" w:rsidP="10F7AF1B" w:rsidRDefault="00E31E95" w14:paraId="349A9C48"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000000"/>
          <w:sz w:val="18"/>
          <w:szCs w:val="18"/>
          <w:lang w:val="en-US"/>
        </w:rPr>
      </w:pPr>
      <w:r w:rsidRPr="10F7AF1B" w:rsidR="10F7AF1B">
        <w:rPr>
          <w:sz w:val="18"/>
          <w:szCs w:val="18"/>
          <w:lang w:val="en-US"/>
        </w:rPr>
        <w:t xml:space="preserve">The human gut microbiome is known to influence human health by providing essential substances and modulating immune responses. The onset and progression of neurodegenerative diseases are dependent on these processes, though the details of the gut-brain crosstalk in these disorders </w:t>
      </w:r>
      <w:r w:rsidRPr="10F7AF1B" w:rsidR="10F7AF1B">
        <w:rPr>
          <w:sz w:val="18"/>
          <w:szCs w:val="18"/>
          <w:lang w:val="en-US"/>
        </w:rPr>
        <w:t>remain</w:t>
      </w:r>
      <w:r w:rsidRPr="10F7AF1B" w:rsidR="10F7AF1B">
        <w:rPr>
          <w:sz w:val="18"/>
          <w:szCs w:val="18"/>
          <w:lang w:val="en-US"/>
        </w:rPr>
        <w:t xml:space="preserve"> elusive. Recent studies reveal that gut bacteria produce bacterial functional amyloids, proteins with structures </w:t>
      </w:r>
      <w:r w:rsidRPr="10F7AF1B" w:rsidR="10F7AF1B">
        <w:rPr>
          <w:sz w:val="18"/>
          <w:szCs w:val="18"/>
          <w:lang w:val="en-US"/>
        </w:rPr>
        <w:t>similar to</w:t>
      </w:r>
      <w:r w:rsidRPr="10F7AF1B" w:rsidR="10F7AF1B">
        <w:rPr>
          <w:sz w:val="18"/>
          <w:szCs w:val="18"/>
          <w:lang w:val="en-US"/>
        </w:rPr>
        <w:t xml:space="preserve"> the misfolded human proteins linked to neurodegenerative diseases [1]. This structural similarity a</w:t>
      </w:r>
      <w:r w:rsidRPr="10F7AF1B" w:rsidR="10F7AF1B">
        <w:rPr>
          <w:sz w:val="18"/>
          <w:szCs w:val="18"/>
          <w:lang w:val="en-US"/>
        </w:rPr>
        <w:t xml:space="preserve">llows them to potentially trigger or accelerate the aggregation of human proteins, such as alpha-synuclein, a key protein in Parkinson's disease [2]. This process may originate in the gut and spread to the brain via the </w:t>
      </w:r>
      <w:r w:rsidRPr="10F7AF1B" w:rsidR="10F7AF1B">
        <w:rPr>
          <w:sz w:val="18"/>
          <w:szCs w:val="18"/>
          <w:lang w:val="en-US"/>
        </w:rPr>
        <w:t>vagus</w:t>
      </w:r>
      <w:r w:rsidRPr="10F7AF1B" w:rsidR="10F7AF1B">
        <w:rPr>
          <w:sz w:val="18"/>
          <w:szCs w:val="18"/>
          <w:lang w:val="en-US"/>
        </w:rPr>
        <w:t xml:space="preserve"> nerve, suggesting that the disease could start in the gut [2, 3]. Further research is necessary to fully understand the role of these bacterial amyloids, which could lead to new diagnostic and therapeutic strategies for neurodegenerative diseases.</w:t>
      </w:r>
      <w:r w:rsidRPr="10F7AF1B" w:rsidR="10F7AF1B">
        <w:rPr>
          <w:color w:val="000000" w:themeColor="text1" w:themeTint="FF" w:themeShade="FF"/>
          <w:sz w:val="18"/>
          <w:szCs w:val="18"/>
          <w:lang w:val="en-US"/>
        </w:rPr>
        <w:t xml:space="preserve"> </w:t>
      </w:r>
    </w:p>
    <w:p xmlns:wp14="http://schemas.microsoft.com/office/word/2010/wordml" w:rsidR="00A33DD7" w:rsidRDefault="00E31E95" w14:paraId="4E6C15D0" wp14:textId="77777777">
      <w:pPr>
        <w:numPr>
          <w:ilvl w:val="0"/>
          <w:numId w:val="1"/>
        </w:numPr>
        <w:pBdr>
          <w:top w:val="nil"/>
          <w:left w:val="nil"/>
          <w:bottom w:val="nil"/>
          <w:right w:val="nil"/>
          <w:between w:val="nil"/>
        </w:pBdr>
        <w:spacing w:before="240" w:after="120" w:line="240" w:lineRule="auto"/>
        <w:ind w:left="227" w:hanging="227"/>
        <w:rPr>
          <w:color w:val="000000"/>
        </w:rPr>
      </w:pPr>
      <w:r>
        <w:rPr>
          <w:b/>
          <w:color w:val="000000"/>
        </w:rPr>
        <w:t xml:space="preserve">Description of the problem </w:t>
      </w:r>
    </w:p>
    <w:p xmlns:wp14="http://schemas.microsoft.com/office/word/2010/wordml" w:rsidR="00A33DD7" w:rsidP="10F7AF1B" w:rsidRDefault="00E31E95" w14:paraId="60376E26"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000000"/>
          <w:sz w:val="18"/>
          <w:szCs w:val="18"/>
          <w:lang w:val="en-US"/>
        </w:rPr>
      </w:pPr>
      <w:r w:rsidRPr="10F7AF1B" w:rsidR="10F7AF1B">
        <w:rPr>
          <w:sz w:val="18"/>
          <w:szCs w:val="18"/>
          <w:lang w:val="en-US"/>
        </w:rPr>
        <w:t xml:space="preserve">To fully understand the role of bacterial functional amyloids in neurodegeneration, we must investigate three key areas. First, we are interested in estimating how many such proteins are produced by the human gut microbiome. Second, we want to evaluate whether the abundance of such proteins is associated with the disease. Finally, we aim to </w:t>
      </w:r>
      <w:r w:rsidRPr="10F7AF1B" w:rsidR="10F7AF1B">
        <w:rPr>
          <w:sz w:val="18"/>
          <w:szCs w:val="18"/>
          <w:lang w:val="en-US"/>
        </w:rPr>
        <w:t>identify</w:t>
      </w:r>
      <w:r w:rsidRPr="10F7AF1B" w:rsidR="10F7AF1B">
        <w:rPr>
          <w:sz w:val="18"/>
          <w:szCs w:val="18"/>
          <w:lang w:val="en-US"/>
        </w:rPr>
        <w:t xml:space="preserve"> human molecular pathways which could be affected by bacterial functional amyloids. </w:t>
      </w:r>
    </w:p>
    <w:p xmlns:wp14="http://schemas.microsoft.com/office/word/2010/wordml" w:rsidR="00A33DD7" w:rsidRDefault="00E31E95" w14:paraId="4183E8D9" wp14:textId="77777777">
      <w:pPr>
        <w:numPr>
          <w:ilvl w:val="0"/>
          <w:numId w:val="1"/>
        </w:numPr>
        <w:pBdr>
          <w:top w:val="nil"/>
          <w:left w:val="nil"/>
          <w:bottom w:val="nil"/>
          <w:right w:val="nil"/>
          <w:between w:val="nil"/>
        </w:pBdr>
        <w:spacing w:before="240" w:after="120" w:line="240" w:lineRule="auto"/>
        <w:ind w:left="227" w:hanging="227"/>
      </w:pPr>
      <w:r>
        <w:rPr>
          <w:b/>
          <w:color w:val="000000"/>
        </w:rPr>
        <w:t xml:space="preserve">Related work </w:t>
      </w:r>
    </w:p>
    <w:p xmlns:wp14="http://schemas.microsoft.com/office/word/2010/wordml" w:rsidR="00A33DD7" w:rsidP="10F7AF1B" w:rsidRDefault="00E31E95" w14:paraId="4A56DB21"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jc w:val="both"/>
        <w:rPr>
          <w:color w:val="000000"/>
          <w:sz w:val="18"/>
          <w:szCs w:val="18"/>
          <w:lang w:val="en-US"/>
        </w:rPr>
      </w:pPr>
      <w:r w:rsidRPr="10F7AF1B" w:rsidR="10F7AF1B">
        <w:rPr>
          <w:sz w:val="18"/>
          <w:szCs w:val="18"/>
          <w:lang w:val="en-US"/>
        </w:rPr>
        <w:t xml:space="preserve">Wang et al. [4] have shown that E. coli bacterial amyloid </w:t>
      </w:r>
      <w:r w:rsidRPr="10F7AF1B" w:rsidR="10F7AF1B">
        <w:rPr>
          <w:sz w:val="18"/>
          <w:szCs w:val="18"/>
          <w:lang w:val="en-US"/>
        </w:rPr>
        <w:t>CsgA</w:t>
      </w:r>
      <w:r w:rsidRPr="10F7AF1B" w:rsidR="10F7AF1B">
        <w:rPr>
          <w:sz w:val="18"/>
          <w:szCs w:val="18"/>
          <w:lang w:val="en-US"/>
        </w:rPr>
        <w:t xml:space="preserve"> promotes </w:t>
      </w:r>
      <w:r w:rsidRPr="10F7AF1B" w:rsidR="10F7AF1B">
        <w:rPr>
          <w:sz w:val="18"/>
          <w:szCs w:val="18"/>
          <w:lang w:val="en-US"/>
        </w:rPr>
        <w:t>neuropathologies</w:t>
      </w:r>
      <w:r w:rsidRPr="10F7AF1B" w:rsidR="10F7AF1B">
        <w:rPr>
          <w:sz w:val="18"/>
          <w:szCs w:val="18"/>
          <w:lang w:val="en-US"/>
        </w:rPr>
        <w:t xml:space="preserve"> by inducing the aggregation of pathological amyloids, colocalizing with them in the neurons and downregulating the mitochondrial genes in C. elegans. Intestinal Bap amyloids produced by Staphylococcus have been found to promote neurodegeneration in mice and proposed as future biomarkers of such pathologies [5].</w:t>
      </w:r>
    </w:p>
    <w:p xmlns:wp14="http://schemas.microsoft.com/office/word/2010/wordml" w:rsidR="00A33DD7" w:rsidRDefault="00E31E95" w14:paraId="1B2B7735" wp14:textId="77777777">
      <w:pPr>
        <w:numPr>
          <w:ilvl w:val="0"/>
          <w:numId w:val="1"/>
        </w:numPr>
        <w:pBdr>
          <w:top w:val="nil"/>
          <w:left w:val="nil"/>
          <w:bottom w:val="nil"/>
          <w:right w:val="nil"/>
          <w:between w:val="nil"/>
        </w:pBdr>
        <w:spacing w:before="240" w:after="120" w:line="240" w:lineRule="auto"/>
        <w:ind w:left="227" w:hanging="227"/>
        <w:rPr>
          <w:color w:val="000000"/>
        </w:rPr>
      </w:pPr>
      <w:r>
        <w:rPr>
          <w:b/>
          <w:color w:val="000000"/>
        </w:rPr>
        <w:t>Solution to the problem</w:t>
      </w:r>
    </w:p>
    <w:p xmlns:wp14="http://schemas.microsoft.com/office/word/2010/wordml" w:rsidR="00A33DD7" w:rsidP="10F7AF1B" w:rsidRDefault="00E31E95" w14:paraId="4682177E" wp14:textId="77777777">
      <w:pPr>
        <w:spacing w:after="0" w:line="240" w:lineRule="auto"/>
        <w:jc w:val="both"/>
        <w:rPr>
          <w:sz w:val="18"/>
          <w:szCs w:val="18"/>
          <w:lang w:val="en-US"/>
        </w:rPr>
      </w:pPr>
      <w:r w:rsidRPr="10F7AF1B" w:rsidR="10F7AF1B">
        <w:rPr>
          <w:sz w:val="18"/>
          <w:szCs w:val="18"/>
          <w:lang w:val="en-US"/>
        </w:rPr>
        <w:t xml:space="preserve">Using a bioinformatics approach, we </w:t>
      </w:r>
      <w:r w:rsidRPr="10F7AF1B" w:rsidR="10F7AF1B">
        <w:rPr>
          <w:sz w:val="18"/>
          <w:szCs w:val="18"/>
          <w:lang w:val="en-US"/>
        </w:rPr>
        <w:t>identify</w:t>
      </w:r>
      <w:r w:rsidRPr="10F7AF1B" w:rsidR="10F7AF1B">
        <w:rPr>
          <w:sz w:val="18"/>
          <w:szCs w:val="18"/>
          <w:lang w:val="en-US"/>
        </w:rPr>
        <w:t xml:space="preserve"> gut microbiome functional amyloids and analyze their potential impact on human health via the gut-brain axis. The results point to taxonomically diverse sources of functional amyloids (Fig. 1) and their frequent presence in the extracellular space. The retrieved interactions between gut microbiome functional amyloids and human proteins </w:t>
      </w:r>
      <w:r w:rsidRPr="10F7AF1B" w:rsidR="10F7AF1B">
        <w:rPr>
          <w:sz w:val="18"/>
          <w:szCs w:val="18"/>
          <w:lang w:val="en-US"/>
        </w:rPr>
        <w:t>indicate</w:t>
      </w:r>
      <w:r w:rsidRPr="10F7AF1B" w:rsidR="10F7AF1B">
        <w:rPr>
          <w:sz w:val="18"/>
          <w:szCs w:val="18"/>
          <w:lang w:val="en-US"/>
        </w:rPr>
        <w:t xml:space="preserve"> their potential to trigger inflammation, affect transport and </w:t>
      </w:r>
      <w:r w:rsidRPr="10F7AF1B" w:rsidR="10F7AF1B">
        <w:rPr>
          <w:sz w:val="18"/>
          <w:szCs w:val="18"/>
          <w:lang w:val="en-US"/>
        </w:rPr>
        <w:t>signalling</w:t>
      </w:r>
      <w:r w:rsidRPr="10F7AF1B" w:rsidR="10F7AF1B">
        <w:rPr>
          <w:sz w:val="18"/>
          <w:szCs w:val="18"/>
          <w:lang w:val="en-US"/>
        </w:rPr>
        <w:t xml:space="preserve"> processes. We also find a greater relative abun</w:t>
      </w:r>
      <w:r w:rsidRPr="10F7AF1B" w:rsidR="10F7AF1B">
        <w:rPr>
          <w:sz w:val="18"/>
          <w:szCs w:val="18"/>
          <w:lang w:val="en-US"/>
        </w:rPr>
        <w:t xml:space="preserve">dance of bacterial functional amyloids in patients diagnosed with Parkinson’s disease and specifically a higher content of the curli amyloid protein, </w:t>
      </w:r>
      <w:r w:rsidRPr="10F7AF1B" w:rsidR="10F7AF1B">
        <w:rPr>
          <w:sz w:val="18"/>
          <w:szCs w:val="18"/>
          <w:lang w:val="en-US"/>
        </w:rPr>
        <w:t>CsgA</w:t>
      </w:r>
      <w:r w:rsidRPr="10F7AF1B" w:rsidR="10F7AF1B">
        <w:rPr>
          <w:sz w:val="18"/>
          <w:szCs w:val="18"/>
          <w:lang w:val="en-US"/>
        </w:rPr>
        <w:t xml:space="preserve">, in Alzheimer’s disease patients than in healthy controls. </w:t>
      </w:r>
    </w:p>
    <w:p xmlns:wp14="http://schemas.microsoft.com/office/word/2010/wordml" w:rsidR="00A33DD7" w:rsidRDefault="00A33DD7" w14:paraId="672A6659" wp14:textId="77777777">
      <w:pPr>
        <w:pBdr>
          <w:top w:val="nil"/>
          <w:left w:val="nil"/>
          <w:bottom w:val="nil"/>
          <w:right w:val="nil"/>
          <w:between w:val="nil"/>
        </w:pBdr>
        <w:spacing w:after="0" w:line="240" w:lineRule="auto"/>
        <w:jc w:val="both"/>
        <w:rPr>
          <w:color w:val="000000"/>
          <w:sz w:val="18"/>
          <w:szCs w:val="18"/>
        </w:rPr>
      </w:pPr>
    </w:p>
    <w:p xmlns:wp14="http://schemas.microsoft.com/office/word/2010/wordml" w:rsidR="00A33DD7" w:rsidRDefault="00E31E95" w14:paraId="0A37501D" wp14:textId="77777777">
      <w:pPr>
        <w:pBdr>
          <w:top w:val="nil"/>
          <w:left w:val="nil"/>
          <w:bottom w:val="nil"/>
          <w:right w:val="nil"/>
          <w:between w:val="nil"/>
        </w:pBdr>
        <w:spacing w:after="0" w:line="240" w:lineRule="auto"/>
        <w:ind w:hanging="708"/>
        <w:jc w:val="center"/>
        <w:rPr>
          <w:color w:val="000000"/>
          <w:sz w:val="18"/>
          <w:szCs w:val="18"/>
        </w:rPr>
      </w:pPr>
      <w:r>
        <w:rPr>
          <w:noProof/>
          <w:sz w:val="18"/>
          <w:szCs w:val="18"/>
        </w:rPr>
        <w:drawing>
          <wp:inline xmlns:wp14="http://schemas.microsoft.com/office/word/2010/wordprocessingDrawing" distT="114300" distB="114300" distL="114300" distR="114300" wp14:anchorId="582F9A51" wp14:editId="7777777">
            <wp:extent cx="2975928" cy="3648075"/>
            <wp:effectExtent l="0" t="0" r="0" b="0"/>
            <wp:docPr id="1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22231" r="9324" b="32126"/>
                    <a:stretch>
                      <a:fillRect/>
                    </a:stretch>
                  </pic:blipFill>
                  <pic:spPr>
                    <a:xfrm>
                      <a:off x="0" y="0"/>
                      <a:ext cx="2975928" cy="3648075"/>
                    </a:xfrm>
                    <a:prstGeom prst="rect">
                      <a:avLst/>
                    </a:prstGeom>
                    <a:ln/>
                  </pic:spPr>
                </pic:pic>
              </a:graphicData>
            </a:graphic>
          </wp:inline>
        </w:drawing>
      </w:r>
    </w:p>
    <w:p xmlns:wp14="http://schemas.microsoft.com/office/word/2010/wordml" w:rsidR="00A33DD7" w:rsidRDefault="00A33DD7" w14:paraId="5DAB6C7B" wp14:textId="77777777">
      <w:pPr>
        <w:pBdr>
          <w:top w:val="nil"/>
          <w:left w:val="nil"/>
          <w:bottom w:val="nil"/>
          <w:right w:val="nil"/>
          <w:between w:val="nil"/>
        </w:pBdr>
        <w:spacing w:after="0" w:line="240" w:lineRule="auto"/>
        <w:jc w:val="both"/>
        <w:rPr>
          <w:b/>
          <w:color w:val="000000"/>
          <w:sz w:val="16"/>
          <w:szCs w:val="16"/>
        </w:rPr>
      </w:pPr>
    </w:p>
    <w:p xmlns:wp14="http://schemas.microsoft.com/office/word/2010/wordml" w:rsidR="00A33DD7" w:rsidRDefault="00E31E95" w14:paraId="6A05C18B" wp14:textId="77777777">
      <w:pPr>
        <w:pBdr>
          <w:top w:val="nil"/>
          <w:left w:val="nil"/>
          <w:bottom w:val="nil"/>
          <w:right w:val="nil"/>
          <w:between w:val="nil"/>
        </w:pBdr>
        <w:spacing w:after="0" w:line="240" w:lineRule="auto"/>
        <w:jc w:val="center"/>
        <w:rPr>
          <w:color w:val="000000"/>
          <w:sz w:val="16"/>
          <w:szCs w:val="16"/>
        </w:rPr>
      </w:pPr>
      <w:r>
        <w:rPr>
          <w:b/>
          <w:color w:val="000000"/>
          <w:sz w:val="16"/>
          <w:szCs w:val="16"/>
        </w:rPr>
        <w:t xml:space="preserve">Fig.1. </w:t>
      </w:r>
      <w:r>
        <w:rPr>
          <w:sz w:val="16"/>
          <w:szCs w:val="16"/>
        </w:rPr>
        <w:t>Taxonomic distribution of bacterial functional amyloids found in the human gut microbiome proteome.</w:t>
      </w:r>
    </w:p>
    <w:p xmlns:wp14="http://schemas.microsoft.com/office/word/2010/wordml" w:rsidR="00A33DD7" w:rsidRDefault="00A33DD7" w14:paraId="02EB378F" wp14:textId="77777777">
      <w:pPr>
        <w:pBdr>
          <w:top w:val="nil"/>
          <w:left w:val="nil"/>
          <w:bottom w:val="nil"/>
          <w:right w:val="nil"/>
          <w:between w:val="nil"/>
        </w:pBdr>
        <w:spacing w:after="0" w:line="240" w:lineRule="auto"/>
        <w:jc w:val="center"/>
        <w:rPr>
          <w:color w:val="000000"/>
          <w:sz w:val="16"/>
          <w:szCs w:val="16"/>
        </w:rPr>
      </w:pPr>
    </w:p>
    <w:p xmlns:wp14="http://schemas.microsoft.com/office/word/2010/wordml" w:rsidR="00A33DD7" w:rsidRDefault="00E31E95" w14:paraId="620246B5" wp14:textId="77777777">
      <w:pPr>
        <w:numPr>
          <w:ilvl w:val="0"/>
          <w:numId w:val="1"/>
        </w:numPr>
        <w:pBdr>
          <w:top w:val="nil"/>
          <w:left w:val="nil"/>
          <w:bottom w:val="nil"/>
          <w:right w:val="nil"/>
          <w:between w:val="nil"/>
        </w:pBdr>
        <w:spacing w:before="240" w:after="120" w:line="240" w:lineRule="auto"/>
        <w:ind w:left="227" w:hanging="227"/>
        <w:rPr>
          <w:color w:val="000000"/>
        </w:rPr>
      </w:pPr>
      <w:r>
        <w:rPr>
          <w:b/>
          <w:color w:val="000000"/>
        </w:rPr>
        <w:t>Conclusions and future work</w:t>
      </w:r>
    </w:p>
    <w:p xmlns:wp14="http://schemas.microsoft.com/office/word/2010/wordml" w:rsidR="00A33DD7" w:rsidP="10F7AF1B" w:rsidRDefault="00E31E95" w14:paraId="39136509" wp14:textId="77777777">
      <w:pPr>
        <w:spacing w:after="0" w:line="240" w:lineRule="auto"/>
        <w:jc w:val="both"/>
        <w:rPr>
          <w:sz w:val="18"/>
          <w:szCs w:val="18"/>
          <w:lang w:val="en-US"/>
        </w:rPr>
      </w:pPr>
      <w:r w:rsidRPr="10F7AF1B" w:rsidR="10F7AF1B">
        <w:rPr>
          <w:sz w:val="18"/>
          <w:szCs w:val="18"/>
          <w:lang w:val="en-US"/>
        </w:rPr>
        <w:t xml:space="preserve">Our results provide a rationale for the tentative link between neurodegeneration and gut bacterial functional amyloids. </w:t>
      </w:r>
      <w:r w:rsidRPr="10F7AF1B" w:rsidR="10F7AF1B">
        <w:rPr>
          <w:sz w:val="18"/>
          <w:szCs w:val="18"/>
          <w:lang w:val="en-US"/>
        </w:rPr>
        <w:t>The future</w:t>
      </w:r>
      <w:r w:rsidRPr="10F7AF1B" w:rsidR="10F7AF1B">
        <w:rPr>
          <w:sz w:val="18"/>
          <w:szCs w:val="18"/>
          <w:lang w:val="en-US"/>
        </w:rPr>
        <w:t xml:space="preserve"> research could focus on the potential of bacterial functional amyloids as biomarkers in these disorders. The preprint is available at: https://www.biorxiv.org/content/10.1101/2024.11.26.624671v1.</w:t>
      </w:r>
    </w:p>
    <w:p xmlns:wp14="http://schemas.microsoft.com/office/word/2010/wordml" w:rsidR="00A33DD7" w:rsidP="10F7AF1B" w:rsidRDefault="00E31E95" w14:paraId="584F2B16" wp14:textId="77777777">
      <w:pPr>
        <w:pBdr>
          <w:top w:val="nil" w:color="000000" w:sz="0" w:space="0"/>
          <w:left w:val="nil" w:color="000000" w:sz="0" w:space="0"/>
          <w:bottom w:val="nil" w:color="000000" w:sz="0" w:space="0"/>
          <w:right w:val="nil" w:color="000000" w:sz="0" w:space="0"/>
          <w:between w:val="nil" w:color="000000" w:sz="0" w:space="0"/>
        </w:pBdr>
        <w:spacing w:before="240" w:after="120" w:line="240" w:lineRule="auto"/>
        <w:jc w:val="both"/>
        <w:rPr>
          <w:sz w:val="18"/>
          <w:szCs w:val="18"/>
          <w:lang w:val="en-US"/>
        </w:rPr>
      </w:pPr>
      <w:r w:rsidRPr="10F7AF1B" w:rsidR="10F7AF1B">
        <w:rPr>
          <w:b w:val="1"/>
          <w:bCs w:val="1"/>
          <w:color w:val="000000" w:themeColor="text1" w:themeTint="FF" w:themeShade="FF"/>
          <w:sz w:val="18"/>
          <w:szCs w:val="18"/>
          <w:lang w:val="en-US"/>
        </w:rPr>
        <w:t xml:space="preserve">Acknowledgements. </w:t>
      </w:r>
      <w:r w:rsidRPr="10F7AF1B" w:rsidR="10F7AF1B">
        <w:rPr>
          <w:color w:val="000000" w:themeColor="text1" w:themeTint="FF" w:themeShade="FF"/>
          <w:sz w:val="18"/>
          <w:szCs w:val="18"/>
          <w:lang w:val="en-US"/>
        </w:rPr>
        <w:t xml:space="preserve">We acknowledge the support of EU under grants EDITH No 101083771 (Digital Europe), GEMINI No 101136438 (HORIZON), </w:t>
      </w:r>
      <w:r w:rsidRPr="10F7AF1B" w:rsidR="10F7AF1B">
        <w:rPr>
          <w:color w:val="000000" w:themeColor="text1" w:themeTint="FF" w:themeShade="FF"/>
          <w:sz w:val="18"/>
          <w:szCs w:val="18"/>
          <w:lang w:val="en-US"/>
        </w:rPr>
        <w:t>Meetween</w:t>
      </w:r>
      <w:r w:rsidRPr="10F7AF1B" w:rsidR="10F7AF1B">
        <w:rPr>
          <w:color w:val="000000" w:themeColor="text1" w:themeTint="FF" w:themeShade="FF"/>
          <w:sz w:val="18"/>
          <w:szCs w:val="18"/>
          <w:lang w:val="en-US"/>
        </w:rPr>
        <w:t xml:space="preserve"> No 101135798 (HORIZON), and Teaming Sano No 857533</w:t>
      </w:r>
      <w:r w:rsidRPr="10F7AF1B" w:rsidR="10F7AF1B">
        <w:rPr>
          <w:sz w:val="18"/>
          <w:szCs w:val="18"/>
          <w:lang w:val="en-US"/>
        </w:rPr>
        <w:t xml:space="preserve">. This work was supported by the National Science Centre, Poland [2019/35/B/NZ2/03997] (MK) and NAWA STER grant of Polish National Agency for Academic Exchange for PhD students (JWW). TK is funded by the National Science Centre, Poland [2023/05/Y/NZ2/00080]. We would like to cordially thank Prof. Pawel P. </w:t>
      </w:r>
      <w:r w:rsidRPr="10F7AF1B" w:rsidR="10F7AF1B">
        <w:rPr>
          <w:sz w:val="18"/>
          <w:szCs w:val="18"/>
          <w:lang w:val="en-US"/>
        </w:rPr>
        <w:t>Łabaj</w:t>
      </w:r>
      <w:r w:rsidRPr="10F7AF1B" w:rsidR="10F7AF1B">
        <w:rPr>
          <w:sz w:val="18"/>
          <w:szCs w:val="18"/>
          <w:lang w:val="en-US"/>
        </w:rPr>
        <w:t xml:space="preserve"> for valuable comments.</w:t>
      </w:r>
    </w:p>
    <w:p xmlns:wp14="http://schemas.microsoft.com/office/word/2010/wordml" w:rsidR="00A33DD7" w:rsidRDefault="00E31E95" w14:paraId="071E4E01" wp14:textId="77777777">
      <w:pPr>
        <w:pBdr>
          <w:top w:val="nil"/>
          <w:left w:val="nil"/>
          <w:bottom w:val="nil"/>
          <w:right w:val="nil"/>
          <w:between w:val="nil"/>
        </w:pBdr>
        <w:spacing w:before="240" w:after="120" w:line="240" w:lineRule="auto"/>
        <w:ind w:left="227" w:hanging="227"/>
        <w:rPr>
          <w:b/>
          <w:color w:val="000000"/>
        </w:rPr>
      </w:pPr>
      <w:r>
        <w:rPr>
          <w:b/>
          <w:color w:val="000000"/>
        </w:rPr>
        <w:t>References</w:t>
      </w:r>
    </w:p>
    <w:p xmlns:wp14="http://schemas.microsoft.com/office/word/2010/wordml" w:rsidR="00A33DD7" w:rsidRDefault="00E31E95" w14:paraId="4BB69157" wp14:textId="77777777">
      <w:pPr>
        <w:numPr>
          <w:ilvl w:val="0"/>
          <w:numId w:val="2"/>
        </w:numPr>
        <w:pBdr>
          <w:top w:val="nil"/>
          <w:left w:val="nil"/>
          <w:bottom w:val="nil"/>
          <w:right w:val="nil"/>
          <w:between w:val="nil"/>
        </w:pBdr>
        <w:spacing w:after="0" w:line="240" w:lineRule="auto"/>
        <w:ind w:left="340" w:hanging="170"/>
        <w:rPr>
          <w:color w:val="000000"/>
          <w:sz w:val="16"/>
          <w:szCs w:val="16"/>
        </w:rPr>
      </w:pPr>
      <w:r>
        <w:rPr>
          <w:sz w:val="16"/>
          <w:szCs w:val="16"/>
        </w:rPr>
        <w:t xml:space="preserve">D. Otzen, R. Riek. </w:t>
      </w:r>
      <w:r>
        <w:rPr>
          <w:i/>
          <w:sz w:val="16"/>
          <w:szCs w:val="16"/>
        </w:rPr>
        <w:t>Functional amyloids</w:t>
      </w:r>
      <w:r>
        <w:rPr>
          <w:sz w:val="16"/>
          <w:szCs w:val="16"/>
        </w:rPr>
        <w:t>. Cold Spring Harbor perspectives in biology, 11.12, 2019</w:t>
      </w:r>
    </w:p>
    <w:p xmlns:wp14="http://schemas.microsoft.com/office/word/2010/wordml" w:rsidR="00A33DD7" w:rsidP="10F7AF1B" w:rsidRDefault="00E31E95" w14:paraId="170BE134"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ind w:left="340" w:hanging="170"/>
        <w:rPr>
          <w:sz w:val="16"/>
          <w:szCs w:val="16"/>
          <w:lang w:val="en-US"/>
        </w:rPr>
      </w:pPr>
      <w:r w:rsidRPr="10F7AF1B" w:rsidR="10F7AF1B">
        <w:rPr>
          <w:sz w:val="16"/>
          <w:szCs w:val="16"/>
          <w:lang w:val="en-US"/>
        </w:rPr>
        <w:t xml:space="preserve">R. P. Friedland, M. R. Chapman. </w:t>
      </w:r>
      <w:r w:rsidRPr="10F7AF1B" w:rsidR="10F7AF1B">
        <w:rPr>
          <w:i w:val="1"/>
          <w:iCs w:val="1"/>
          <w:sz w:val="16"/>
          <w:szCs w:val="16"/>
          <w:lang w:val="en-US"/>
        </w:rPr>
        <w:t>The role of microbial amyloid in neurodegeneration</w:t>
      </w:r>
      <w:r w:rsidRPr="10F7AF1B" w:rsidR="10F7AF1B">
        <w:rPr>
          <w:sz w:val="16"/>
          <w:szCs w:val="16"/>
          <w:lang w:val="en-US"/>
        </w:rPr>
        <w:t xml:space="preserve">. </w:t>
      </w:r>
      <w:r w:rsidRPr="10F7AF1B" w:rsidR="10F7AF1B">
        <w:rPr>
          <w:sz w:val="16"/>
          <w:szCs w:val="16"/>
          <w:lang w:val="en-US"/>
        </w:rPr>
        <w:t>PLoS</w:t>
      </w:r>
      <w:r w:rsidRPr="10F7AF1B" w:rsidR="10F7AF1B">
        <w:rPr>
          <w:sz w:val="16"/>
          <w:szCs w:val="16"/>
          <w:lang w:val="en-US"/>
        </w:rPr>
        <w:t xml:space="preserve"> pathogens, 13.12 2017.</w:t>
      </w:r>
    </w:p>
    <w:p xmlns:wp14="http://schemas.microsoft.com/office/word/2010/wordml" w:rsidR="00A33DD7" w:rsidP="10F7AF1B" w:rsidRDefault="00E31E95" w14:paraId="58EBA3DA"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ind w:left="340" w:hanging="170"/>
        <w:rPr>
          <w:sz w:val="16"/>
          <w:szCs w:val="16"/>
          <w:lang w:val="en-US"/>
        </w:rPr>
      </w:pPr>
      <w:r w:rsidRPr="10F7AF1B" w:rsidR="10F7AF1B">
        <w:rPr>
          <w:sz w:val="16"/>
          <w:szCs w:val="16"/>
          <w:lang w:val="en-US"/>
        </w:rPr>
        <w:t xml:space="preserve">H. Braak, U. </w:t>
      </w:r>
      <w:r w:rsidRPr="10F7AF1B" w:rsidR="10F7AF1B">
        <w:rPr>
          <w:sz w:val="16"/>
          <w:szCs w:val="16"/>
          <w:lang w:val="en-US"/>
        </w:rPr>
        <w:t>Rüb</w:t>
      </w:r>
      <w:r w:rsidRPr="10F7AF1B" w:rsidR="10F7AF1B">
        <w:rPr>
          <w:sz w:val="16"/>
          <w:szCs w:val="16"/>
          <w:lang w:val="en-US"/>
        </w:rPr>
        <w:t xml:space="preserve">., W. P. Gai, K. Del </w:t>
      </w:r>
      <w:r w:rsidRPr="10F7AF1B" w:rsidR="10F7AF1B">
        <w:rPr>
          <w:sz w:val="16"/>
          <w:szCs w:val="16"/>
          <w:lang w:val="en-US"/>
        </w:rPr>
        <w:t>Tredici</w:t>
      </w:r>
      <w:r w:rsidRPr="10F7AF1B" w:rsidR="10F7AF1B">
        <w:rPr>
          <w:sz w:val="16"/>
          <w:szCs w:val="16"/>
          <w:lang w:val="en-US"/>
        </w:rPr>
        <w:t>. I</w:t>
      </w:r>
      <w:r w:rsidRPr="10F7AF1B" w:rsidR="10F7AF1B">
        <w:rPr>
          <w:i w:val="1"/>
          <w:iCs w:val="1"/>
          <w:sz w:val="16"/>
          <w:szCs w:val="16"/>
          <w:lang w:val="en-US"/>
        </w:rPr>
        <w:t xml:space="preserve">diopathic Parkinson's disease: </w:t>
      </w:r>
      <w:r w:rsidRPr="10F7AF1B" w:rsidR="10F7AF1B">
        <w:rPr>
          <w:i w:val="1"/>
          <w:iCs w:val="1"/>
          <w:sz w:val="16"/>
          <w:szCs w:val="16"/>
          <w:lang w:val="en-US"/>
        </w:rPr>
        <w:t>possible routes</w:t>
      </w:r>
      <w:r w:rsidRPr="10F7AF1B" w:rsidR="10F7AF1B">
        <w:rPr>
          <w:i w:val="1"/>
          <w:iCs w:val="1"/>
          <w:sz w:val="16"/>
          <w:szCs w:val="16"/>
          <w:lang w:val="en-US"/>
        </w:rPr>
        <w:t xml:space="preserve"> by which vulnerable neuronal types may be subject to </w:t>
      </w:r>
      <w:r w:rsidRPr="10F7AF1B" w:rsidR="10F7AF1B">
        <w:rPr>
          <w:i w:val="1"/>
          <w:iCs w:val="1"/>
          <w:sz w:val="16"/>
          <w:szCs w:val="16"/>
          <w:lang w:val="en-US"/>
        </w:rPr>
        <w:t>neuroinvasion</w:t>
      </w:r>
      <w:r w:rsidRPr="10F7AF1B" w:rsidR="10F7AF1B">
        <w:rPr>
          <w:i w:val="1"/>
          <w:iCs w:val="1"/>
          <w:sz w:val="16"/>
          <w:szCs w:val="16"/>
          <w:lang w:val="en-US"/>
        </w:rPr>
        <w:t xml:space="preserve"> by an unknown pathogen.</w:t>
      </w:r>
      <w:r w:rsidRPr="10F7AF1B" w:rsidR="10F7AF1B">
        <w:rPr>
          <w:sz w:val="16"/>
          <w:szCs w:val="16"/>
          <w:lang w:val="en-US"/>
        </w:rPr>
        <w:t xml:space="preserve"> Journal of neural transmission, 110(5), 517-536, 2003. </w:t>
      </w:r>
    </w:p>
    <w:p xmlns:wp14="http://schemas.microsoft.com/office/word/2010/wordml" w:rsidR="00A33DD7" w:rsidP="10F7AF1B" w:rsidRDefault="00E31E95" w14:paraId="26BA1973"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spacing w:after="0" w:line="240" w:lineRule="auto"/>
        <w:ind w:left="340" w:hanging="170"/>
        <w:rPr>
          <w:sz w:val="16"/>
          <w:szCs w:val="16"/>
          <w:lang w:val="en-US"/>
        </w:rPr>
      </w:pPr>
      <w:r w:rsidRPr="10F7AF1B" w:rsidR="10F7AF1B">
        <w:rPr>
          <w:sz w:val="16"/>
          <w:szCs w:val="16"/>
          <w:lang w:val="en-US"/>
        </w:rPr>
        <w:t xml:space="preserve">C. Wang, C. Y. Lau, F. Ma, C. Zheng, C. </w:t>
      </w:r>
      <w:r w:rsidRPr="10F7AF1B" w:rsidR="10F7AF1B">
        <w:rPr>
          <w:i w:val="1"/>
          <w:iCs w:val="1"/>
          <w:sz w:val="16"/>
          <w:szCs w:val="16"/>
          <w:lang w:val="en-US"/>
        </w:rPr>
        <w:t xml:space="preserve">Genome-wide screen </w:t>
      </w:r>
      <w:r w:rsidRPr="10F7AF1B" w:rsidR="10F7AF1B">
        <w:rPr>
          <w:i w:val="1"/>
          <w:iCs w:val="1"/>
          <w:sz w:val="16"/>
          <w:szCs w:val="16"/>
          <w:lang w:val="en-US"/>
        </w:rPr>
        <w:t>identifies</w:t>
      </w:r>
      <w:r w:rsidRPr="10F7AF1B" w:rsidR="10F7AF1B">
        <w:rPr>
          <w:i w:val="1"/>
          <w:iCs w:val="1"/>
          <w:sz w:val="16"/>
          <w:szCs w:val="16"/>
          <w:lang w:val="en-US"/>
        </w:rPr>
        <w:t xml:space="preserve"> curli amyloid fibril as a bacterial </w:t>
      </w:r>
      <w:r w:rsidRPr="10F7AF1B" w:rsidR="10F7AF1B">
        <w:rPr>
          <w:i w:val="1"/>
          <w:iCs w:val="1"/>
          <w:sz w:val="16"/>
          <w:szCs w:val="16"/>
          <w:lang w:val="en-US"/>
        </w:rPr>
        <w:t>component</w:t>
      </w:r>
      <w:r w:rsidRPr="10F7AF1B" w:rsidR="10F7AF1B">
        <w:rPr>
          <w:i w:val="1"/>
          <w:iCs w:val="1"/>
          <w:sz w:val="16"/>
          <w:szCs w:val="16"/>
          <w:lang w:val="en-US"/>
        </w:rPr>
        <w:t xml:space="preserve"> promoting host neurodegeneration.</w:t>
      </w:r>
      <w:r w:rsidRPr="10F7AF1B" w:rsidR="10F7AF1B">
        <w:rPr>
          <w:sz w:val="16"/>
          <w:szCs w:val="16"/>
          <w:lang w:val="en-US"/>
        </w:rPr>
        <w:t xml:space="preserve"> Proceedings of the National Academy of Sciences, 118(34), 2021</w:t>
      </w:r>
    </w:p>
    <w:p xmlns:wp14="http://schemas.microsoft.com/office/word/2010/wordml" w:rsidR="00A33DD7" w:rsidRDefault="00E31E95" w14:paraId="433F0679" wp14:textId="77777777">
      <w:pPr>
        <w:numPr>
          <w:ilvl w:val="0"/>
          <w:numId w:val="2"/>
        </w:numPr>
        <w:pBdr>
          <w:top w:val="nil"/>
          <w:left w:val="nil"/>
          <w:bottom w:val="nil"/>
          <w:right w:val="nil"/>
          <w:between w:val="nil"/>
        </w:pBdr>
        <w:spacing w:after="0" w:line="240" w:lineRule="auto"/>
        <w:ind w:left="340" w:hanging="170"/>
        <w:rPr>
          <w:sz w:val="16"/>
          <w:szCs w:val="16"/>
        </w:rPr>
      </w:pPr>
      <w:r>
        <w:rPr>
          <w:sz w:val="16"/>
          <w:szCs w:val="16"/>
        </w:rPr>
        <w:t xml:space="preserve">A. Fernández-Calvet et al. </w:t>
      </w:r>
      <w:r>
        <w:rPr>
          <w:i/>
          <w:sz w:val="16"/>
          <w:szCs w:val="16"/>
        </w:rPr>
        <w:t>Gut microbiota produces biofilm-associated amyloids with potential for neurodegeneration</w:t>
      </w:r>
      <w:r>
        <w:rPr>
          <w:sz w:val="16"/>
          <w:szCs w:val="16"/>
        </w:rPr>
        <w:t>. Nature communications, 15.1, 2024</w:t>
      </w:r>
    </w:p>
    <w:sectPr w:rsidR="00A33DD7">
      <w:headerReference w:type="default" r:id="rId11"/>
      <w:footerReference w:type="even" r:id="rId12"/>
      <w:pgSz w:w="9242" w:h="13438" w:orient="portrait"/>
      <w:pgMar w:top="1191" w:right="543" w:bottom="1191" w:left="1191"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E31E95" w:rsidRDefault="00E31E95" w14:paraId="6A05A809" wp14:textId="77777777">
      <w:pPr>
        <w:spacing w:after="0" w:line="240" w:lineRule="auto"/>
      </w:pPr>
      <w:r>
        <w:separator/>
      </w:r>
    </w:p>
  </w:endnote>
  <w:endnote w:type="continuationSeparator" w:id="0">
    <w:p xmlns:wp14="http://schemas.microsoft.com/office/word/2010/wordml" w:rsidR="00E31E95" w:rsidRDefault="00E31E95" w14:paraId="5A39BBE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33DD7" w:rsidRDefault="00E31E95" w14:paraId="5A5D9EA8" wp14:textId="77777777">
    <w:pPr>
      <w:rPr>
        <w:sz w:val="18"/>
        <w:szCs w:val="18"/>
      </w:rPr>
    </w:pPr>
    <w:r>
      <w:rPr>
        <w:sz w:val="18"/>
        <w:szCs w:val="18"/>
      </w:rPr>
      <w:tab/>
    </w:r>
    <w:r>
      <w:rPr>
        <w:sz w:val="18"/>
        <w:szCs w:val="18"/>
      </w:rPr>
      <w:t xml:space="preserve">                                                                       CGW 2013   </w:t>
    </w:r>
    <w:r>
      <w:rPr>
        <w:sz w:val="18"/>
        <w:szCs w:val="18"/>
      </w:rPr>
      <w:tab/>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E31E95" w:rsidRDefault="00E31E95" w14:paraId="41C8F396" wp14:textId="77777777">
      <w:pPr>
        <w:spacing w:after="0" w:line="240" w:lineRule="auto"/>
      </w:pPr>
      <w:r>
        <w:separator/>
      </w:r>
    </w:p>
  </w:footnote>
  <w:footnote w:type="continuationSeparator" w:id="0">
    <w:p xmlns:wp14="http://schemas.microsoft.com/office/word/2010/wordml" w:rsidR="00E31E95" w:rsidRDefault="00E31E95" w14:paraId="72A3D3E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A33DD7" w:rsidRDefault="00A33DD7" w14:paraId="0D0B940D"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591586"/>
    <w:multiLevelType w:val="multilevel"/>
    <w:tmpl w:val="FFFFFFFF"/>
    <w:lvl w:ilvl="0">
      <w:start w:val="1"/>
      <w:numFmt w:val="decimal"/>
      <w:lvlText w:val="%1."/>
      <w:lvlJc w:val="left"/>
      <w:pPr>
        <w:ind w:left="1920" w:hanging="360"/>
      </w:p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1" w15:restartNumberingAfterBreak="0">
    <w:nsid w:val="74397DD7"/>
    <w:multiLevelType w:val="multilevel"/>
    <w:tmpl w:val="FFFFFFFF"/>
    <w:lvl w:ilvl="0">
      <w:start w:val="1"/>
      <w:numFmt w:val="decimal"/>
      <w:pStyle w:val="List-2-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4681424"/>
    <w:multiLevelType w:val="multilevel"/>
    <w:tmpl w:val="FFFFFFFF"/>
    <w:lvl w:ilvl="0">
      <w:start w:val="1"/>
      <w:numFmt w:val="decimal"/>
      <w:pStyle w:val="List-bulleted"/>
      <w:lvlText w:val="%1."/>
      <w:lvlJc w:val="left"/>
      <w:pPr>
        <w:ind w:left="720" w:hanging="360"/>
      </w:pPr>
      <w:rPr>
        <w:b/>
      </w:rPr>
    </w:lvl>
    <w:lvl w:ilvl="1">
      <w:start w:val="1"/>
      <w:numFmt w:val="bullet"/>
      <w:lvlText w:val="•"/>
      <w:lvlJc w:val="left"/>
      <w:pPr>
        <w:ind w:left="1440" w:hanging="360"/>
      </w:pPr>
      <w:rPr>
        <w:rFonts w:ascii="Times New Roman" w:hAnsi="Times New Roman" w:eastAsia="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933815">
    <w:abstractNumId w:val="2"/>
  </w:num>
  <w:num w:numId="2" w16cid:durableId="133916102">
    <w:abstractNumId w:val="0"/>
  </w:num>
  <w:num w:numId="3" w16cid:durableId="1992978307">
    <w:abstractNumId w:val="1"/>
  </w:num>
  <w:num w:numId="4" w16cid:durableId="13662520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86920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D7"/>
    <w:rsid w:val="00043C36"/>
    <w:rsid w:val="00A33DD7"/>
    <w:rsid w:val="00E31E95"/>
    <w:rsid w:val="10F7AF1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12B6A96"/>
  <w15:docId w15:val="{2128DCB8-8EF7-4C4C-8590-16069E07CE5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en"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style>
  <w:style w:type="paragraph" w:styleId="Nagwek1">
    <w:name w:val="heading 1"/>
    <w:basedOn w:val="Normalny"/>
    <w:next w:val="Normalny"/>
    <w:link w:val="Nagwek1Znak"/>
    <w:uiPriority w:val="9"/>
    <w:qFormat/>
    <w:pPr>
      <w:outlineLvl w:val="0"/>
    </w:pPr>
  </w:style>
  <w:style w:type="paragraph" w:styleId="Nagwek2">
    <w:name w:val="heading 2"/>
    <w:basedOn w:val="Normalny"/>
    <w:next w:val="Normalny"/>
    <w:link w:val="Nagwek2Znak"/>
    <w:uiPriority w:val="9"/>
    <w:semiHidden/>
    <w:unhideWhenUsed/>
    <w:qFormat/>
    <w:pPr>
      <w:keepNext/>
      <w:keepLines/>
      <w:spacing w:before="200" w:after="0"/>
      <w:outlineLvl w:val="1"/>
    </w:pPr>
    <w:rPr>
      <w:b/>
      <w:color w:val="4F81BD"/>
      <w:sz w:val="26"/>
      <w:szCs w:val="26"/>
    </w:rPr>
  </w:style>
  <w:style w:type="paragraph" w:styleId="Nagwek3">
    <w:name w:val="heading 3"/>
    <w:basedOn w:val="Normalny"/>
    <w:next w:val="Normalny"/>
    <w:link w:val="Nagwek3Znak"/>
    <w:uiPriority w:val="9"/>
    <w:semiHidden/>
    <w:unhideWhenUsed/>
    <w:qFormat/>
    <w:pPr>
      <w:keepNext/>
      <w:keepLines/>
      <w:spacing w:before="200" w:after="0"/>
      <w:outlineLvl w:val="2"/>
    </w:pPr>
    <w:rPr>
      <w:b/>
      <w:color w:val="4F81BD"/>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Nagwek1Znak" w:customStyle="1">
    <w:name w:val="Nagłówek 1 Znak"/>
    <w:link w:val="Nagwek1"/>
    <w:uiPriority w:val="9"/>
    <w:rsid w:val="002B5C0E"/>
    <w:rPr>
      <w:rFonts w:ascii="Times New Roman" w:hAnsi="Times New Roman"/>
      <w:sz w:val="22"/>
      <w:szCs w:val="22"/>
      <w:lang w:eastAsia="ar-SA"/>
    </w:rPr>
  </w:style>
  <w:style w:type="paragraph" w:styleId="Authors" w:customStyle="1">
    <w:name w:val="Authors"/>
    <w:basedOn w:val="Normalny"/>
    <w:rsid w:val="00042206"/>
    <w:pPr>
      <w:spacing w:before="240" w:after="240"/>
      <w:jc w:val="center"/>
    </w:pPr>
    <w:rPr>
      <w:sz w:val="18"/>
    </w:rPr>
  </w:style>
  <w:style w:type="paragraph" w:styleId="Affiliation" w:customStyle="1">
    <w:name w:val="Affiliation"/>
    <w:basedOn w:val="Normalny"/>
    <w:rsid w:val="00042206"/>
    <w:pPr>
      <w:spacing w:after="0" w:line="240" w:lineRule="auto"/>
      <w:jc w:val="center"/>
    </w:pPr>
    <w:rPr>
      <w:sz w:val="16"/>
      <w:szCs w:val="20"/>
      <w:lang w:val="en-GB"/>
    </w:rPr>
  </w:style>
  <w:style w:type="paragraph" w:styleId="E-mails" w:customStyle="1">
    <w:name w:val="E-mails"/>
    <w:basedOn w:val="Normalny"/>
    <w:rsid w:val="00F94CE1"/>
    <w:pPr>
      <w:spacing w:before="120" w:after="0" w:line="240" w:lineRule="auto"/>
      <w:contextualSpacing/>
      <w:jc w:val="center"/>
    </w:pPr>
    <w:rPr>
      <w:rFonts w:ascii="Courier New" w:hAnsi="Courier New"/>
      <w:sz w:val="16"/>
    </w:rPr>
  </w:style>
  <w:style w:type="paragraph" w:styleId="Paragraph" w:customStyle="1">
    <w:name w:val="Paragraph"/>
    <w:basedOn w:val="Normalny"/>
    <w:rsid w:val="00FF1D25"/>
    <w:pPr>
      <w:spacing w:after="0" w:line="240" w:lineRule="auto"/>
      <w:ind w:firstLine="340"/>
      <w:jc w:val="both"/>
    </w:pPr>
    <w:rPr>
      <w:sz w:val="18"/>
      <w:szCs w:val="20"/>
      <w:lang w:val="en-US"/>
    </w:rPr>
  </w:style>
  <w:style w:type="paragraph" w:styleId="List-2-numbered" w:customStyle="1">
    <w:name w:val="List-2-numbered"/>
    <w:basedOn w:val="Normalny"/>
    <w:rsid w:val="00D9416C"/>
    <w:pPr>
      <w:numPr>
        <w:numId w:val="3"/>
      </w:numPr>
      <w:spacing w:before="120" w:after="0" w:line="240" w:lineRule="auto"/>
      <w:ind w:left="510" w:hanging="170"/>
      <w:contextualSpacing/>
    </w:pPr>
    <w:rPr>
      <w:sz w:val="18"/>
    </w:rPr>
  </w:style>
  <w:style w:type="paragraph" w:styleId="List-3-numbered" w:customStyle="1">
    <w:name w:val="List-3-numbered"/>
    <w:basedOn w:val="Normalny"/>
    <w:rsid w:val="00D9416C"/>
    <w:pPr>
      <w:tabs>
        <w:tab w:val="num" w:pos="720"/>
      </w:tabs>
      <w:spacing w:before="120" w:after="0" w:line="240" w:lineRule="auto"/>
      <w:ind w:left="510" w:hanging="170"/>
      <w:contextualSpacing/>
    </w:pPr>
    <w:rPr>
      <w:sz w:val="18"/>
    </w:rPr>
  </w:style>
  <w:style w:type="paragraph" w:styleId="Legenda1" w:customStyle="1">
    <w:name w:val="Legenda1"/>
    <w:basedOn w:val="Normalny"/>
    <w:next w:val="Paragraph"/>
    <w:rsid w:val="00BE052B"/>
    <w:pPr>
      <w:spacing w:before="120" w:after="120" w:line="240" w:lineRule="auto"/>
      <w:jc w:val="center"/>
    </w:pPr>
    <w:rPr>
      <w:rFonts w:eastAsia="Arial Unicode MS"/>
      <w:iCs/>
      <w:kern w:val="1"/>
      <w:sz w:val="16"/>
      <w:szCs w:val="20"/>
      <w:lang w:val="en-US"/>
    </w:rPr>
  </w:style>
  <w:style w:type="paragraph" w:styleId="List-bulleted" w:customStyle="1">
    <w:name w:val="List-bulleted"/>
    <w:basedOn w:val="Normalny"/>
    <w:rsid w:val="00004A9E"/>
    <w:pPr>
      <w:numPr>
        <w:numId w:val="1"/>
      </w:numPr>
      <w:spacing w:before="120" w:after="0" w:line="240" w:lineRule="auto"/>
      <w:ind w:left="510" w:hanging="170"/>
      <w:contextualSpacing/>
      <w:jc w:val="both"/>
    </w:pPr>
    <w:rPr>
      <w:sz w:val="18"/>
      <w:lang w:val="en-US"/>
    </w:rPr>
  </w:style>
  <w:style w:type="paragraph" w:styleId="Keywords" w:customStyle="1">
    <w:name w:val="Keywords"/>
    <w:basedOn w:val="Normalny"/>
    <w:rsid w:val="00BC10E2"/>
    <w:pPr>
      <w:spacing w:before="360"/>
      <w:jc w:val="both"/>
    </w:pPr>
    <w:rPr>
      <w:sz w:val="18"/>
      <w:szCs w:val="18"/>
      <w:lang w:val="en-US"/>
    </w:rPr>
  </w:style>
  <w:style w:type="paragraph" w:styleId="Table" w:customStyle="1">
    <w:name w:val="Table"/>
    <w:basedOn w:val="Normalny"/>
    <w:next w:val="Paragraph"/>
    <w:rsid w:val="00117B9E"/>
    <w:pPr>
      <w:keepNext/>
      <w:widowControl w:val="0"/>
      <w:suppressLineNumbers/>
      <w:snapToGrid w:val="0"/>
      <w:spacing w:after="0" w:line="240" w:lineRule="auto"/>
      <w:ind w:left="284" w:right="284"/>
      <w:jc w:val="both"/>
    </w:pPr>
    <w:rPr>
      <w:rFonts w:eastAsia="Arial Unicode MS"/>
      <w:kern w:val="1"/>
      <w:sz w:val="16"/>
      <w:szCs w:val="20"/>
      <w:lang w:val="en-US"/>
    </w:rPr>
  </w:style>
  <w:style w:type="paragraph" w:styleId="Tekstdymka">
    <w:name w:val="Balloon Text"/>
    <w:basedOn w:val="Normalny"/>
    <w:link w:val="TekstdymkaZnak"/>
    <w:uiPriority w:val="99"/>
    <w:semiHidden/>
    <w:unhideWhenUsed/>
    <w:rsid w:val="00374922"/>
    <w:pPr>
      <w:spacing w:after="0" w:line="240" w:lineRule="auto"/>
    </w:pPr>
    <w:rPr>
      <w:rFonts w:ascii="Tahoma" w:hAnsi="Tahoma"/>
      <w:sz w:val="16"/>
      <w:szCs w:val="16"/>
    </w:rPr>
  </w:style>
  <w:style w:type="character" w:styleId="TekstdymkaZnak" w:customStyle="1">
    <w:name w:val="Tekst dymka Znak"/>
    <w:link w:val="Tekstdymka"/>
    <w:uiPriority w:val="99"/>
    <w:semiHidden/>
    <w:rsid w:val="00374922"/>
    <w:rPr>
      <w:rFonts w:ascii="Tahoma" w:hAnsi="Tahoma" w:cs="Tahoma"/>
      <w:sz w:val="16"/>
      <w:szCs w:val="16"/>
      <w:lang w:eastAsia="ar-SA"/>
    </w:rPr>
  </w:style>
  <w:style w:type="table" w:styleId="Tabela-Siatka">
    <w:name w:val="Table Grid"/>
    <w:basedOn w:val="Standardowy"/>
    <w:rsid w:val="000315B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agwek2Znak" w:customStyle="1">
    <w:name w:val="Nagłówek 2 Znak"/>
    <w:link w:val="Nagwek2"/>
    <w:uiPriority w:val="9"/>
    <w:rsid w:val="002B5C0E"/>
    <w:rPr>
      <w:rFonts w:ascii="Times New Roman" w:hAnsi="Times New Roman" w:eastAsia="Times New Roman" w:cs="Times New Roman"/>
      <w:b/>
      <w:bCs/>
      <w:color w:val="4F81BD"/>
      <w:sz w:val="26"/>
      <w:szCs w:val="26"/>
      <w:lang w:eastAsia="ar-SA"/>
    </w:rPr>
  </w:style>
  <w:style w:type="character" w:styleId="Nagwek3Znak" w:customStyle="1">
    <w:name w:val="Nagłówek 3 Znak"/>
    <w:link w:val="Nagwek3"/>
    <w:uiPriority w:val="9"/>
    <w:semiHidden/>
    <w:rsid w:val="002B5C0E"/>
    <w:rPr>
      <w:rFonts w:ascii="Times New Roman" w:hAnsi="Times New Roman" w:eastAsia="Times New Roman" w:cs="Times New Roman"/>
      <w:b/>
      <w:bCs/>
      <w:color w:val="4F81BD"/>
      <w:sz w:val="22"/>
      <w:szCs w:val="22"/>
      <w:lang w:eastAsia="ar-SA"/>
    </w:rPr>
  </w:style>
  <w:style w:type="numbering" w:styleId="Styl1" w:customStyle="1">
    <w:name w:val="Styl1"/>
    <w:uiPriority w:val="99"/>
    <w:rsid w:val="00E41DB1"/>
  </w:style>
  <w:style w:type="paragraph" w:styleId="List-numbered-bold" w:customStyle="1">
    <w:name w:val="List-numbered-bold"/>
    <w:basedOn w:val="Normalny"/>
    <w:qFormat/>
    <w:rsid w:val="003B1B33"/>
    <w:pPr>
      <w:spacing w:before="240" w:after="120" w:line="240" w:lineRule="auto"/>
    </w:pPr>
    <w:rPr>
      <w:b/>
      <w:szCs w:val="16"/>
      <w:lang w:val="en-US"/>
    </w:rPr>
  </w:style>
  <w:style w:type="paragraph" w:styleId="List-1-numbered" w:customStyle="1">
    <w:name w:val="List-1-numbered"/>
    <w:basedOn w:val="List-numbered-bold"/>
    <w:rsid w:val="00DA3B2E"/>
    <w:pPr>
      <w:tabs>
        <w:tab w:val="num" w:pos="720"/>
      </w:tabs>
      <w:spacing w:before="120" w:after="0"/>
      <w:ind w:left="510" w:hanging="170"/>
      <w:contextualSpacing/>
      <w:jc w:val="both"/>
    </w:pPr>
    <w:rPr>
      <w:b w:val="0"/>
      <w:sz w:val="18"/>
    </w:rPr>
  </w:style>
  <w:style w:type="paragraph" w:styleId="References" w:customStyle="1">
    <w:name w:val="References"/>
    <w:basedOn w:val="Normalny"/>
    <w:next w:val="Paragraph"/>
    <w:rsid w:val="00516EAB"/>
    <w:pPr>
      <w:spacing w:after="0" w:line="240" w:lineRule="auto"/>
      <w:jc w:val="both"/>
    </w:pPr>
    <w:rPr>
      <w:sz w:val="16"/>
    </w:rPr>
  </w:style>
  <w:style w:type="paragraph" w:styleId="Titlebold" w:customStyle="1">
    <w:name w:val="Title_bold"/>
    <w:basedOn w:val="Normalny"/>
    <w:rsid w:val="00042206"/>
    <w:pPr>
      <w:spacing w:after="0" w:line="240" w:lineRule="auto"/>
      <w:jc w:val="center"/>
    </w:pPr>
    <w:rPr>
      <w:b/>
      <w:sz w:val="24"/>
      <w:lang w:val="en-US"/>
    </w:rPr>
  </w:style>
  <w:style w:type="paragraph" w:styleId="HTML" w:customStyle="1">
    <w:name w:val="HTML"/>
    <w:basedOn w:val="Normalny"/>
    <w:next w:val="Paragraph"/>
    <w:link w:val="HTMLZnak"/>
    <w:rsid w:val="00A177B2"/>
    <w:rPr>
      <w:rFonts w:ascii="Courier New" w:hAnsi="Courier New"/>
      <w:sz w:val="16"/>
    </w:rPr>
  </w:style>
  <w:style w:type="paragraph" w:styleId="NormalnyWeb">
    <w:name w:val="Normal (Web)"/>
    <w:basedOn w:val="Normalny"/>
    <w:uiPriority w:val="99"/>
    <w:semiHidden/>
    <w:unhideWhenUsed/>
    <w:rsid w:val="00C2755E"/>
    <w:pPr>
      <w:spacing w:before="100" w:beforeAutospacing="1" w:after="100" w:afterAutospacing="1" w:line="240" w:lineRule="auto"/>
    </w:pPr>
    <w:rPr>
      <w:rFonts w:ascii="Times" w:hAnsi="Times" w:eastAsia="MS Mincho"/>
      <w:sz w:val="20"/>
      <w:szCs w:val="20"/>
      <w:lang w:val="en-US" w:eastAsia="en-US"/>
    </w:rPr>
  </w:style>
  <w:style w:type="paragraph" w:styleId="Formula" w:customStyle="1">
    <w:name w:val="Formula"/>
    <w:basedOn w:val="Normalny"/>
    <w:next w:val="Paragraph"/>
    <w:rsid w:val="00443705"/>
    <w:pPr>
      <w:tabs>
        <w:tab w:val="right" w:pos="6663"/>
      </w:tabs>
      <w:spacing w:before="120" w:after="120"/>
      <w:jc w:val="right"/>
    </w:pPr>
    <w:rPr>
      <w:color w:val="000000"/>
      <w:sz w:val="20"/>
      <w:lang w:val="en-US"/>
    </w:rPr>
  </w:style>
  <w:style w:type="character" w:styleId="HTMLZnak" w:customStyle="1">
    <w:name w:val="HTML Znak"/>
    <w:link w:val="HTML"/>
    <w:rsid w:val="00A177B2"/>
    <w:rPr>
      <w:rFonts w:ascii="Courier New" w:hAnsi="Courier New" w:cs="Calibri"/>
      <w:sz w:val="16"/>
      <w:szCs w:val="22"/>
      <w:lang w:eastAsia="ar-SA"/>
    </w:rPr>
  </w:style>
  <w:style w:type="paragraph" w:styleId="Akapitzlist">
    <w:name w:val="List Paragraph"/>
    <w:basedOn w:val="Normalny"/>
    <w:uiPriority w:val="34"/>
    <w:qFormat/>
    <w:rsid w:val="00C60CA8"/>
    <w:pPr>
      <w:ind w:left="720"/>
      <w:contextualSpacing/>
    </w:pPr>
  </w:style>
  <w:style w:type="character" w:styleId="Hipercze">
    <w:name w:val="Hyperlink"/>
    <w:basedOn w:val="Domylnaczcionkaakapitu"/>
    <w:unhideWhenUsed/>
    <w:rsid w:val="00615936"/>
    <w:rPr>
      <w:color w:val="0563C1" w:themeColor="hyperlink"/>
      <w:u w:val="single"/>
    </w:rPr>
  </w:style>
  <w:style w:type="character" w:styleId="Nierozpoznanawzmianka">
    <w:name w:val="Unresolved Mention"/>
    <w:basedOn w:val="Domylnaczcionkaakapitu"/>
    <w:uiPriority w:val="99"/>
    <w:semiHidden/>
    <w:unhideWhenUsed/>
    <w:rsid w:val="00615936"/>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theme" Target="theme/theme1.xml" Id="rId14" /><Relationship Type="http://schemas.openxmlformats.org/officeDocument/2006/relationships/hyperlink" Target="http://uj.edu.pl" TargetMode="External" Id="Rec5fc2f8bc0148b7" /><Relationship Type="http://schemas.openxmlformats.org/officeDocument/2006/relationships/hyperlink" Target="http://mpinat.mpg.de" TargetMode="External" Id="R229efb0e240947ef" /></Relationships>
</file>

<file path=word/theme/theme1.xml><?xml version="1.0" encoding="utf-8"?>
<a:theme xmlns:a="http://schemas.openxmlformats.org/drawingml/2006/main" xmlns:thm15="http://schemas.microsoft.com/office/thememl/2012/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U2xopDL9amG9BQDyWNck4yQzKQ==">CgMxLjA4AHIhMWhEdnBBd2NfZ0VxZWo0RUhHQk8yN0NXQWZEdXNuRWxJ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Pilipczuk</dc:creator>
  <lastModifiedBy>Gość</lastModifiedBy>
  <revision>2</revision>
  <dcterms:created xsi:type="dcterms:W3CDTF">2025-09-02T12:42:00.0000000Z</dcterms:created>
  <dcterms:modified xsi:type="dcterms:W3CDTF">2025-09-02T12:43:04.9806178Z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e51ae000b378fd210d403070331941adf9a8019505742cf487f23d5fe3fdbf89</vt:lpwstr>
  </property>
</Properties>
</file>